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6E03C" w14:textId="68891520" w:rsidR="00C1367C" w:rsidRPr="0056242D" w:rsidRDefault="00C1367C" w:rsidP="00C1367C">
      <w:pPr>
        <w:spacing w:line="360" w:lineRule="auto"/>
        <w:rPr>
          <w:rFonts w:ascii="Arial" w:hAnsi="Arial" w:cs="Arial"/>
          <w:b/>
          <w:bCs/>
          <w:sz w:val="24"/>
          <w:szCs w:val="24"/>
        </w:rPr>
      </w:pPr>
      <w:r w:rsidRPr="0056242D">
        <w:rPr>
          <w:rFonts w:ascii="Arial" w:hAnsi="Arial" w:cs="Arial"/>
          <w:b/>
          <w:bCs/>
          <w:sz w:val="24"/>
          <w:szCs w:val="24"/>
        </w:rPr>
        <w:t xml:space="preserve">Post Operative Rehabilitation for Living Kidney Donors </w:t>
      </w:r>
    </w:p>
    <w:p w14:paraId="21D51998" w14:textId="77777777" w:rsidR="00C1367C" w:rsidRPr="0056242D" w:rsidRDefault="00C1367C" w:rsidP="00C1367C">
      <w:pPr>
        <w:spacing w:line="360" w:lineRule="auto"/>
        <w:rPr>
          <w:rFonts w:ascii="Arial" w:hAnsi="Arial" w:cs="Arial"/>
          <w:sz w:val="24"/>
          <w:szCs w:val="24"/>
        </w:rPr>
      </w:pPr>
      <w:r w:rsidRPr="0056242D">
        <w:rPr>
          <w:rFonts w:ascii="Arial" w:hAnsi="Arial" w:cs="Arial"/>
          <w:sz w:val="24"/>
          <w:szCs w:val="24"/>
        </w:rPr>
        <w:t xml:space="preserve">Post operative rehabilitation for Living Kidney Donors refers to the recovery and ongoing care following donor nephrectomy, aimed at restoring physical function, monitoring renal health (1) and supporting psychosocial wellbeing (2) </w:t>
      </w:r>
    </w:p>
    <w:p w14:paraId="07438DC0" w14:textId="77777777" w:rsidR="00C1367C" w:rsidRPr="0056242D" w:rsidRDefault="00C1367C" w:rsidP="00C1367C">
      <w:pPr>
        <w:spacing w:line="360" w:lineRule="auto"/>
        <w:rPr>
          <w:rFonts w:ascii="Arial" w:hAnsi="Arial" w:cs="Arial"/>
          <w:sz w:val="24"/>
          <w:szCs w:val="24"/>
        </w:rPr>
      </w:pPr>
      <w:r w:rsidRPr="0056242D">
        <w:rPr>
          <w:rFonts w:ascii="Arial" w:hAnsi="Arial" w:cs="Arial"/>
          <w:sz w:val="24"/>
          <w:szCs w:val="24"/>
        </w:rPr>
        <w:t>The literature on post-operative rehabilitation in living kidney donors remains limited. However, available studies suggest that physical activity following donation is generally safe, (3) with predictable, temporary reductions in physical function and health-related quality of life (</w:t>
      </w:r>
      <w:proofErr w:type="spellStart"/>
      <w:r w:rsidRPr="0056242D">
        <w:rPr>
          <w:rFonts w:ascii="Arial" w:hAnsi="Arial" w:cs="Arial"/>
          <w:sz w:val="24"/>
          <w:szCs w:val="24"/>
        </w:rPr>
        <w:t>HRQoL</w:t>
      </w:r>
      <w:proofErr w:type="spellEnd"/>
      <w:r w:rsidRPr="0056242D">
        <w:rPr>
          <w:rFonts w:ascii="Arial" w:hAnsi="Arial" w:cs="Arial"/>
          <w:sz w:val="24"/>
          <w:szCs w:val="24"/>
        </w:rPr>
        <w:t xml:space="preserve">) that resolve within months. (4) Ongoing monitoring and individualised counselling are recommended to support recovery and minimise the risk of secondary complications. (1) </w:t>
      </w:r>
    </w:p>
    <w:p w14:paraId="45A1B4B3" w14:textId="77777777" w:rsidR="00C1367C" w:rsidRPr="0056242D" w:rsidRDefault="00C1367C" w:rsidP="00C1367C">
      <w:pPr>
        <w:spacing w:line="360" w:lineRule="auto"/>
        <w:rPr>
          <w:rFonts w:ascii="Arial" w:hAnsi="Arial" w:cs="Arial"/>
          <w:sz w:val="24"/>
          <w:szCs w:val="24"/>
        </w:rPr>
      </w:pPr>
      <w:r w:rsidRPr="0056242D">
        <w:rPr>
          <w:rFonts w:ascii="Arial" w:hAnsi="Arial" w:cs="Arial"/>
          <w:sz w:val="24"/>
          <w:szCs w:val="24"/>
        </w:rPr>
        <w:t xml:space="preserve">Most donors experience a short-term decline in physical functioning and </w:t>
      </w:r>
      <w:proofErr w:type="spellStart"/>
      <w:r w:rsidRPr="0056242D">
        <w:rPr>
          <w:rFonts w:ascii="Arial" w:hAnsi="Arial" w:cs="Arial"/>
          <w:sz w:val="24"/>
          <w:szCs w:val="24"/>
        </w:rPr>
        <w:t>HRQoL</w:t>
      </w:r>
      <w:proofErr w:type="spellEnd"/>
      <w:r w:rsidRPr="0056242D">
        <w:rPr>
          <w:rFonts w:ascii="Arial" w:hAnsi="Arial" w:cs="Arial"/>
          <w:sz w:val="24"/>
          <w:szCs w:val="24"/>
        </w:rPr>
        <w:t xml:space="preserve"> during the first three months post-donation. A large, recent systematic review and meta-analysis by Van de Laar et al., (4) involving over 14,000 donors from diverse geographical regions, reported a significant reduction in physical </w:t>
      </w:r>
      <w:proofErr w:type="spellStart"/>
      <w:r w:rsidRPr="0056242D">
        <w:rPr>
          <w:rFonts w:ascii="Arial" w:hAnsi="Arial" w:cs="Arial"/>
          <w:sz w:val="24"/>
          <w:szCs w:val="24"/>
        </w:rPr>
        <w:t>HRQoL</w:t>
      </w:r>
      <w:proofErr w:type="spellEnd"/>
      <w:r w:rsidRPr="0056242D">
        <w:rPr>
          <w:rFonts w:ascii="Arial" w:hAnsi="Arial" w:cs="Arial"/>
          <w:sz w:val="24"/>
          <w:szCs w:val="24"/>
        </w:rPr>
        <w:t xml:space="preserve"> at three months post-donation (measured using a 36-item self-reported questionnaire), with recovery to pre-donation levels between six and twelve months.</w:t>
      </w:r>
    </w:p>
    <w:p w14:paraId="679E0879" w14:textId="77777777" w:rsidR="00C1367C" w:rsidRPr="0056242D" w:rsidRDefault="00C1367C" w:rsidP="00C1367C">
      <w:pPr>
        <w:spacing w:line="360" w:lineRule="auto"/>
        <w:rPr>
          <w:rFonts w:ascii="Arial" w:hAnsi="Arial" w:cs="Arial"/>
          <w:sz w:val="24"/>
          <w:szCs w:val="24"/>
        </w:rPr>
      </w:pPr>
      <w:r w:rsidRPr="0056242D">
        <w:rPr>
          <w:rFonts w:ascii="Arial" w:hAnsi="Arial" w:cs="Arial"/>
          <w:sz w:val="24"/>
          <w:szCs w:val="24"/>
        </w:rPr>
        <w:t xml:space="preserve">Despite these findings, evidence-based guidelines defining optimal exercise type, intensity, or dosage for living kidney donors are lacking. Angell et al. (3) demonstrated an approximate 20% reduction in exercise capacity at seven weeks post donation, measured using aerobic threshold and peak oxygen uptake via cardiopulmonary exercise testing. Exercise capacity returned to baseline by 14 weeks, indicating a short-term exercise intolerance. These results support the gradual progression of moderate-intensity aerobic activity between </w:t>
      </w:r>
      <w:proofErr w:type="gramStart"/>
      <w:r w:rsidRPr="0056242D">
        <w:rPr>
          <w:rFonts w:ascii="Arial" w:hAnsi="Arial" w:cs="Arial"/>
          <w:sz w:val="24"/>
          <w:szCs w:val="24"/>
        </w:rPr>
        <w:t>six and fourteen weeks</w:t>
      </w:r>
      <w:proofErr w:type="gramEnd"/>
      <w:r w:rsidRPr="0056242D">
        <w:rPr>
          <w:rFonts w:ascii="Arial" w:hAnsi="Arial" w:cs="Arial"/>
          <w:sz w:val="24"/>
          <w:szCs w:val="24"/>
        </w:rPr>
        <w:t xml:space="preserve"> post-donation, with careful monitoring, while avoiding high-intensity or endurance exercise during the early post-operative period.</w:t>
      </w:r>
    </w:p>
    <w:p w14:paraId="34B7F4CE" w14:textId="77777777" w:rsidR="00C1367C" w:rsidRPr="0056242D" w:rsidRDefault="00C1367C" w:rsidP="00C1367C">
      <w:pPr>
        <w:spacing w:line="360" w:lineRule="auto"/>
        <w:rPr>
          <w:rFonts w:ascii="Arial" w:hAnsi="Arial" w:cs="Arial"/>
          <w:sz w:val="24"/>
          <w:szCs w:val="24"/>
        </w:rPr>
      </w:pPr>
      <w:r w:rsidRPr="0056242D">
        <w:rPr>
          <w:rFonts w:ascii="Arial" w:hAnsi="Arial" w:cs="Arial"/>
          <w:sz w:val="24"/>
          <w:szCs w:val="24"/>
        </w:rPr>
        <w:t xml:space="preserve">Guidelines, including those from </w:t>
      </w:r>
      <w:proofErr w:type="gramStart"/>
      <w:r w:rsidRPr="0056242D">
        <w:rPr>
          <w:rFonts w:ascii="Arial" w:hAnsi="Arial" w:cs="Arial"/>
          <w:sz w:val="24"/>
          <w:szCs w:val="24"/>
        </w:rPr>
        <w:t>Kidney Disease</w:t>
      </w:r>
      <w:proofErr w:type="gramEnd"/>
      <w:r w:rsidRPr="0056242D">
        <w:rPr>
          <w:rFonts w:ascii="Arial" w:hAnsi="Arial" w:cs="Arial"/>
          <w:sz w:val="24"/>
          <w:szCs w:val="24"/>
        </w:rPr>
        <w:t xml:space="preserve">: Improving Global Outcomes (KDIGO), emphasise the importance of structured post-donation follow-up focused on monitoring and maintaining both general and kidney health. (1) This includes regular assessment of estimated glomerular filtration rate, blood pressure, and the development of lifestyle-related conditions such as hypertension, diabetes, and hyperlipidaemia. Following donation, donors are typically classified as having chronic kidney disease (CKD) stage 3 (5), highlighting the need to reinforce healthy lifestyle </w:t>
      </w:r>
      <w:r w:rsidRPr="0056242D">
        <w:rPr>
          <w:rFonts w:ascii="Arial" w:hAnsi="Arial" w:cs="Arial"/>
          <w:sz w:val="24"/>
          <w:szCs w:val="24"/>
        </w:rPr>
        <w:lastRenderedPageBreak/>
        <w:t>behaviours, including balanced nutrition, maintenance of a healthy body weight, and regular aerobic exercise, to address modifiable risk factors such as hypertension and cardiovascular disease.</w:t>
      </w:r>
    </w:p>
    <w:p w14:paraId="10375D6D" w14:textId="77777777" w:rsidR="00C1367C" w:rsidRPr="0056242D" w:rsidRDefault="00C1367C" w:rsidP="00C1367C">
      <w:pPr>
        <w:spacing w:line="360" w:lineRule="auto"/>
        <w:rPr>
          <w:rFonts w:ascii="Arial" w:hAnsi="Arial" w:cs="Arial"/>
          <w:b/>
          <w:bCs/>
          <w:sz w:val="24"/>
          <w:szCs w:val="24"/>
        </w:rPr>
      </w:pPr>
      <w:r w:rsidRPr="0056242D">
        <w:rPr>
          <w:rFonts w:ascii="Arial" w:hAnsi="Arial" w:cs="Arial"/>
          <w:b/>
          <w:bCs/>
          <w:sz w:val="24"/>
          <w:szCs w:val="24"/>
        </w:rPr>
        <w:t xml:space="preserve">References </w:t>
      </w:r>
    </w:p>
    <w:p w14:paraId="3707E93A" w14:textId="77777777" w:rsidR="00C1367C" w:rsidRPr="0056242D" w:rsidRDefault="00C1367C" w:rsidP="00C1367C">
      <w:pPr>
        <w:numPr>
          <w:ilvl w:val="0"/>
          <w:numId w:val="3"/>
        </w:numPr>
        <w:spacing w:line="360" w:lineRule="auto"/>
        <w:rPr>
          <w:rFonts w:ascii="Arial" w:hAnsi="Arial" w:cs="Arial"/>
          <w:sz w:val="24"/>
          <w:szCs w:val="24"/>
        </w:rPr>
      </w:pPr>
      <w:r w:rsidRPr="0056242D">
        <w:rPr>
          <w:rFonts w:ascii="Arial" w:hAnsi="Arial" w:cs="Arial"/>
          <w:sz w:val="24"/>
          <w:szCs w:val="24"/>
        </w:rPr>
        <w:t xml:space="preserve">Kidney Disease: Improving Global Outcomes (KDIGO) Transplant Work Group. KDIGO clinical practice guideline on the evaluation and care of living kidney donors [Internet]. KDIGO; 2017 [cited 06Feb2026]. Available from: </w:t>
      </w:r>
      <w:hyperlink r:id="rId8" w:tgtFrame="_new" w:history="1">
        <w:r w:rsidRPr="0056242D">
          <w:rPr>
            <w:rStyle w:val="Hyperlink"/>
            <w:rFonts w:ascii="Arial" w:hAnsi="Arial" w:cs="Arial"/>
            <w:sz w:val="24"/>
            <w:szCs w:val="24"/>
          </w:rPr>
          <w:t>https://kdigo.org/wp-content/uploads/2017/07/2017-KDIGO-LD-GL.pdf</w:t>
        </w:r>
      </w:hyperlink>
    </w:p>
    <w:p w14:paraId="458B2C9D" w14:textId="77777777" w:rsidR="00C1367C" w:rsidRPr="0056242D" w:rsidRDefault="00C1367C" w:rsidP="00C1367C">
      <w:pPr>
        <w:numPr>
          <w:ilvl w:val="0"/>
          <w:numId w:val="3"/>
        </w:numPr>
        <w:spacing w:line="360" w:lineRule="auto"/>
        <w:rPr>
          <w:rFonts w:ascii="Arial" w:hAnsi="Arial" w:cs="Arial"/>
          <w:sz w:val="24"/>
          <w:szCs w:val="24"/>
        </w:rPr>
      </w:pPr>
      <w:r w:rsidRPr="0056242D">
        <w:rPr>
          <w:rFonts w:ascii="Arial" w:hAnsi="Arial" w:cs="Arial"/>
          <w:sz w:val="24"/>
          <w:szCs w:val="24"/>
        </w:rPr>
        <w:t xml:space="preserve">Galani V, Mazzola V, Prada P, </w:t>
      </w:r>
      <w:proofErr w:type="spellStart"/>
      <w:r w:rsidRPr="0056242D">
        <w:rPr>
          <w:rFonts w:ascii="Arial" w:hAnsi="Arial" w:cs="Arial"/>
          <w:sz w:val="24"/>
          <w:szCs w:val="24"/>
        </w:rPr>
        <w:t>Bondolfi</w:t>
      </w:r>
      <w:proofErr w:type="spellEnd"/>
      <w:r w:rsidRPr="0056242D">
        <w:rPr>
          <w:rFonts w:ascii="Arial" w:hAnsi="Arial" w:cs="Arial"/>
          <w:sz w:val="24"/>
          <w:szCs w:val="24"/>
        </w:rPr>
        <w:t xml:space="preserve"> G. Postoperative factors associated with psychological well-being of living kidney donors: results of a retrospective and qualitative study</w:t>
      </w:r>
      <w:r w:rsidRPr="0056242D">
        <w:rPr>
          <w:rFonts w:ascii="Arial" w:hAnsi="Arial" w:cs="Arial"/>
          <w:i/>
          <w:iCs/>
          <w:sz w:val="24"/>
          <w:szCs w:val="24"/>
        </w:rPr>
        <w:t>.</w:t>
      </w:r>
      <w:r w:rsidRPr="0056242D">
        <w:rPr>
          <w:rFonts w:ascii="Arial" w:hAnsi="Arial" w:cs="Arial"/>
          <w:sz w:val="24"/>
          <w:szCs w:val="24"/>
        </w:rPr>
        <w:t xml:space="preserve"> </w:t>
      </w:r>
      <w:r w:rsidRPr="0056242D">
        <w:rPr>
          <w:rFonts w:ascii="Arial" w:hAnsi="Arial" w:cs="Arial"/>
          <w:b/>
          <w:bCs/>
          <w:sz w:val="24"/>
          <w:szCs w:val="24"/>
        </w:rPr>
        <w:t>Front Psychol.</w:t>
      </w:r>
      <w:r w:rsidRPr="0056242D">
        <w:rPr>
          <w:rFonts w:ascii="Arial" w:hAnsi="Arial" w:cs="Arial"/>
          <w:sz w:val="24"/>
          <w:szCs w:val="24"/>
        </w:rPr>
        <w:t xml:space="preserve"> </w:t>
      </w:r>
      <w:proofErr w:type="gramStart"/>
      <w:r w:rsidRPr="0056242D">
        <w:rPr>
          <w:rFonts w:ascii="Arial" w:hAnsi="Arial" w:cs="Arial"/>
          <w:sz w:val="24"/>
          <w:szCs w:val="24"/>
        </w:rPr>
        <w:t>2024;15:1377771</w:t>
      </w:r>
      <w:proofErr w:type="gramEnd"/>
      <w:r w:rsidRPr="0056242D">
        <w:rPr>
          <w:rFonts w:ascii="Arial" w:hAnsi="Arial" w:cs="Arial"/>
          <w:sz w:val="24"/>
          <w:szCs w:val="24"/>
        </w:rPr>
        <w:t>.</w:t>
      </w:r>
    </w:p>
    <w:p w14:paraId="073B5503" w14:textId="77777777" w:rsidR="00C1367C" w:rsidRPr="0056242D" w:rsidRDefault="00C1367C" w:rsidP="00C1367C">
      <w:pPr>
        <w:numPr>
          <w:ilvl w:val="0"/>
          <w:numId w:val="4"/>
        </w:numPr>
        <w:spacing w:line="360" w:lineRule="auto"/>
        <w:rPr>
          <w:rFonts w:ascii="Arial" w:hAnsi="Arial" w:cs="Arial"/>
          <w:sz w:val="24"/>
          <w:szCs w:val="24"/>
        </w:rPr>
      </w:pPr>
      <w:r w:rsidRPr="0056242D">
        <w:rPr>
          <w:rFonts w:ascii="Arial" w:hAnsi="Arial" w:cs="Arial"/>
          <w:sz w:val="24"/>
          <w:szCs w:val="24"/>
        </w:rPr>
        <w:t xml:space="preserve">Angell J, Dodds N, </w:t>
      </w:r>
      <w:proofErr w:type="spellStart"/>
      <w:r w:rsidRPr="0056242D">
        <w:rPr>
          <w:rFonts w:ascii="Arial" w:hAnsi="Arial" w:cs="Arial"/>
          <w:sz w:val="24"/>
          <w:szCs w:val="24"/>
        </w:rPr>
        <w:t>Darweish-Mednuik</w:t>
      </w:r>
      <w:proofErr w:type="spellEnd"/>
      <w:r w:rsidRPr="0056242D">
        <w:rPr>
          <w:rFonts w:ascii="Arial" w:hAnsi="Arial" w:cs="Arial"/>
          <w:sz w:val="24"/>
          <w:szCs w:val="24"/>
        </w:rPr>
        <w:t xml:space="preserve"> AM, Lewis S, Pyke M, Mitchell DC, Hamilton K, White P, </w:t>
      </w:r>
      <w:proofErr w:type="spellStart"/>
      <w:r w:rsidRPr="0056242D">
        <w:rPr>
          <w:rFonts w:ascii="Arial" w:hAnsi="Arial" w:cs="Arial"/>
          <w:sz w:val="24"/>
          <w:szCs w:val="24"/>
        </w:rPr>
        <w:t>Tolchard</w:t>
      </w:r>
      <w:proofErr w:type="spellEnd"/>
      <w:r w:rsidRPr="0056242D">
        <w:rPr>
          <w:rFonts w:ascii="Arial" w:hAnsi="Arial" w:cs="Arial"/>
          <w:sz w:val="24"/>
          <w:szCs w:val="24"/>
        </w:rPr>
        <w:t xml:space="preserve"> S. Characterising recovery from renal transplantation and live-related donation using cardiopulmonary exercise testing. </w:t>
      </w:r>
      <w:proofErr w:type="spellStart"/>
      <w:r w:rsidRPr="0056242D">
        <w:rPr>
          <w:rFonts w:ascii="Arial" w:hAnsi="Arial" w:cs="Arial"/>
          <w:sz w:val="24"/>
          <w:szCs w:val="24"/>
        </w:rPr>
        <w:t>Disabil</w:t>
      </w:r>
      <w:proofErr w:type="spellEnd"/>
      <w:r w:rsidRPr="0056242D">
        <w:rPr>
          <w:rFonts w:ascii="Arial" w:hAnsi="Arial" w:cs="Arial"/>
          <w:sz w:val="24"/>
          <w:szCs w:val="24"/>
        </w:rPr>
        <w:t xml:space="preserve"> </w:t>
      </w:r>
      <w:proofErr w:type="spellStart"/>
      <w:r w:rsidRPr="0056242D">
        <w:rPr>
          <w:rFonts w:ascii="Arial" w:hAnsi="Arial" w:cs="Arial"/>
          <w:sz w:val="24"/>
          <w:szCs w:val="24"/>
        </w:rPr>
        <w:t>Rehabil</w:t>
      </w:r>
      <w:proofErr w:type="spellEnd"/>
      <w:r w:rsidRPr="0056242D">
        <w:rPr>
          <w:rFonts w:ascii="Arial" w:hAnsi="Arial" w:cs="Arial"/>
          <w:sz w:val="24"/>
          <w:szCs w:val="24"/>
        </w:rPr>
        <w:t xml:space="preserve">. 2021 Jun;43(12):1692-1698. </w:t>
      </w:r>
      <w:proofErr w:type="spellStart"/>
      <w:r w:rsidRPr="0056242D">
        <w:rPr>
          <w:rFonts w:ascii="Arial" w:hAnsi="Arial" w:cs="Arial"/>
          <w:sz w:val="24"/>
          <w:szCs w:val="24"/>
        </w:rPr>
        <w:t>doi</w:t>
      </w:r>
      <w:proofErr w:type="spellEnd"/>
      <w:r w:rsidRPr="0056242D">
        <w:rPr>
          <w:rFonts w:ascii="Arial" w:hAnsi="Arial" w:cs="Arial"/>
          <w:sz w:val="24"/>
          <w:szCs w:val="24"/>
        </w:rPr>
        <w:t xml:space="preserve">: 10.1080/09638288.2019.1674387. </w:t>
      </w:r>
      <w:proofErr w:type="spellStart"/>
      <w:r w:rsidRPr="0056242D">
        <w:rPr>
          <w:rFonts w:ascii="Arial" w:hAnsi="Arial" w:cs="Arial"/>
          <w:sz w:val="24"/>
          <w:szCs w:val="24"/>
        </w:rPr>
        <w:t>Epub</w:t>
      </w:r>
      <w:proofErr w:type="spellEnd"/>
      <w:r w:rsidRPr="0056242D">
        <w:rPr>
          <w:rFonts w:ascii="Arial" w:hAnsi="Arial" w:cs="Arial"/>
          <w:sz w:val="24"/>
          <w:szCs w:val="24"/>
        </w:rPr>
        <w:t xml:space="preserve"> 2019 Oct 10. PMID: 31600094.</w:t>
      </w:r>
    </w:p>
    <w:p w14:paraId="0A38FCA1" w14:textId="77777777" w:rsidR="00C1367C" w:rsidRPr="0056242D" w:rsidRDefault="00C1367C" w:rsidP="00C1367C">
      <w:pPr>
        <w:numPr>
          <w:ilvl w:val="0"/>
          <w:numId w:val="4"/>
        </w:numPr>
        <w:spacing w:line="360" w:lineRule="auto"/>
        <w:rPr>
          <w:rFonts w:ascii="Arial" w:hAnsi="Arial" w:cs="Arial"/>
          <w:sz w:val="24"/>
          <w:szCs w:val="24"/>
        </w:rPr>
      </w:pPr>
      <w:r w:rsidRPr="0056242D">
        <w:rPr>
          <w:rFonts w:ascii="Arial" w:hAnsi="Arial" w:cs="Arial"/>
          <w:sz w:val="24"/>
          <w:szCs w:val="24"/>
        </w:rPr>
        <w:t xml:space="preserve">van de Laar SC, de Heus HA, Massey EK, et al. </w:t>
      </w:r>
      <w:r w:rsidRPr="0056242D">
        <w:rPr>
          <w:rFonts w:ascii="Arial" w:hAnsi="Arial" w:cs="Arial"/>
          <w:i/>
          <w:iCs/>
          <w:sz w:val="24"/>
          <w:szCs w:val="24"/>
        </w:rPr>
        <w:t>Health-Related Quality of Life After Living Kidney Donation: A Systematic Review and Meta-Analysis.</w:t>
      </w:r>
      <w:r w:rsidRPr="0056242D">
        <w:rPr>
          <w:rFonts w:ascii="Arial" w:hAnsi="Arial" w:cs="Arial"/>
          <w:sz w:val="24"/>
          <w:szCs w:val="24"/>
        </w:rPr>
        <w:t xml:space="preserve"> </w:t>
      </w:r>
      <w:r w:rsidRPr="0056242D">
        <w:rPr>
          <w:rFonts w:ascii="Arial" w:hAnsi="Arial" w:cs="Arial"/>
          <w:b/>
          <w:bCs/>
          <w:sz w:val="24"/>
          <w:szCs w:val="24"/>
        </w:rPr>
        <w:t>Am J Kidney Dis.</w:t>
      </w:r>
      <w:r w:rsidRPr="0056242D">
        <w:rPr>
          <w:rFonts w:ascii="Arial" w:hAnsi="Arial" w:cs="Arial"/>
          <w:sz w:val="24"/>
          <w:szCs w:val="24"/>
        </w:rPr>
        <w:t xml:space="preserve"> 2026;87(2):159</w:t>
      </w:r>
      <w:r w:rsidRPr="0056242D">
        <w:rPr>
          <w:rFonts w:ascii="Arial" w:hAnsi="Arial" w:cs="Arial"/>
          <w:sz w:val="24"/>
          <w:szCs w:val="24"/>
        </w:rPr>
        <w:noBreakHyphen/>
        <w:t>181.</w:t>
      </w:r>
    </w:p>
    <w:p w14:paraId="47406A3B" w14:textId="77777777" w:rsidR="00C1367C" w:rsidRPr="0056242D" w:rsidRDefault="00C1367C" w:rsidP="00C1367C">
      <w:pPr>
        <w:numPr>
          <w:ilvl w:val="0"/>
          <w:numId w:val="4"/>
        </w:numPr>
        <w:spacing w:line="360" w:lineRule="auto"/>
        <w:rPr>
          <w:rFonts w:ascii="Arial" w:hAnsi="Arial" w:cs="Arial"/>
          <w:sz w:val="24"/>
          <w:szCs w:val="24"/>
        </w:rPr>
      </w:pPr>
      <w:r w:rsidRPr="0056242D">
        <w:rPr>
          <w:rFonts w:ascii="Arial" w:hAnsi="Arial" w:cs="Arial"/>
          <w:sz w:val="24"/>
          <w:szCs w:val="24"/>
        </w:rPr>
        <w:t xml:space="preserve">Hirano H, Fujiwara Y, Okabe T, et al. </w:t>
      </w:r>
      <w:r w:rsidRPr="0056242D">
        <w:rPr>
          <w:rFonts w:ascii="Arial" w:hAnsi="Arial" w:cs="Arial"/>
          <w:i/>
          <w:iCs/>
          <w:sz w:val="24"/>
          <w:szCs w:val="24"/>
        </w:rPr>
        <w:t>Importance of management of lifestyle-related diseases after kidney donation to living donors.</w:t>
      </w:r>
      <w:r w:rsidRPr="0056242D">
        <w:rPr>
          <w:rFonts w:ascii="Arial" w:hAnsi="Arial" w:cs="Arial"/>
          <w:sz w:val="24"/>
          <w:szCs w:val="24"/>
        </w:rPr>
        <w:t xml:space="preserve"> </w:t>
      </w:r>
      <w:r w:rsidRPr="0056242D">
        <w:rPr>
          <w:rFonts w:ascii="Arial" w:hAnsi="Arial" w:cs="Arial"/>
          <w:b/>
          <w:bCs/>
          <w:sz w:val="24"/>
          <w:szCs w:val="24"/>
        </w:rPr>
        <w:t>Transplant Proc.</w:t>
      </w:r>
      <w:r w:rsidRPr="0056242D">
        <w:rPr>
          <w:rFonts w:ascii="Arial" w:hAnsi="Arial" w:cs="Arial"/>
          <w:sz w:val="24"/>
          <w:szCs w:val="24"/>
        </w:rPr>
        <w:t xml:space="preserve"> </w:t>
      </w:r>
      <w:proofErr w:type="gramStart"/>
      <w:r w:rsidRPr="0056242D">
        <w:rPr>
          <w:rFonts w:ascii="Arial" w:hAnsi="Arial" w:cs="Arial"/>
          <w:sz w:val="24"/>
          <w:szCs w:val="24"/>
        </w:rPr>
        <w:t>2024;S</w:t>
      </w:r>
      <w:proofErr w:type="gramEnd"/>
      <w:r w:rsidRPr="0056242D">
        <w:rPr>
          <w:rFonts w:ascii="Arial" w:hAnsi="Arial" w:cs="Arial"/>
          <w:sz w:val="24"/>
          <w:szCs w:val="24"/>
        </w:rPr>
        <w:t>0041</w:t>
      </w:r>
      <w:r w:rsidRPr="0056242D">
        <w:rPr>
          <w:rFonts w:ascii="Arial" w:hAnsi="Arial" w:cs="Arial"/>
          <w:sz w:val="24"/>
          <w:szCs w:val="24"/>
        </w:rPr>
        <w:noBreakHyphen/>
        <w:t>1345(24)00019</w:t>
      </w:r>
      <w:r w:rsidRPr="0056242D">
        <w:rPr>
          <w:rFonts w:ascii="Arial" w:hAnsi="Arial" w:cs="Arial"/>
          <w:sz w:val="24"/>
          <w:szCs w:val="24"/>
        </w:rPr>
        <w:noBreakHyphen/>
        <w:t>8.</w:t>
      </w:r>
    </w:p>
    <w:p w14:paraId="6EC91C6F" w14:textId="2A1F3915" w:rsidR="00E44B75" w:rsidRPr="0056242D" w:rsidRDefault="00E44B75" w:rsidP="00E44B75">
      <w:pPr>
        <w:spacing w:line="360" w:lineRule="auto"/>
        <w:rPr>
          <w:rFonts w:ascii="Arial" w:hAnsi="Arial" w:cs="Arial"/>
          <w:sz w:val="24"/>
          <w:szCs w:val="24"/>
        </w:rPr>
      </w:pPr>
    </w:p>
    <w:p w14:paraId="7A4E556E" w14:textId="77777777" w:rsidR="00CE0B17" w:rsidRPr="00E44B75" w:rsidRDefault="00CE0B17" w:rsidP="00E44B75">
      <w:pPr>
        <w:pStyle w:val="ListParagraph"/>
        <w:spacing w:line="360" w:lineRule="auto"/>
        <w:rPr>
          <w:rFonts w:ascii="Times New Roman" w:hAnsi="Times New Roman" w:cs="Times New Roman"/>
          <w:sz w:val="24"/>
          <w:szCs w:val="24"/>
        </w:rPr>
      </w:pPr>
    </w:p>
    <w:p w14:paraId="1C8DC28E" w14:textId="15305439" w:rsidR="00E423B0" w:rsidRPr="00E44B75" w:rsidRDefault="00E423B0" w:rsidP="00E44B75">
      <w:pPr>
        <w:spacing w:line="360" w:lineRule="auto"/>
        <w:rPr>
          <w:rFonts w:ascii="Times New Roman" w:hAnsi="Times New Roman" w:cs="Times New Roman"/>
          <w:sz w:val="24"/>
          <w:szCs w:val="24"/>
        </w:rPr>
      </w:pPr>
    </w:p>
    <w:sectPr w:rsidR="00E423B0" w:rsidRPr="00E44B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9076C"/>
    <w:multiLevelType w:val="hybridMultilevel"/>
    <w:tmpl w:val="B48E46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5114632"/>
    <w:multiLevelType w:val="hybridMultilevel"/>
    <w:tmpl w:val="BB2ABF10"/>
    <w:lvl w:ilvl="0" w:tplc="0809000F">
      <w:start w:val="3"/>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7605683E"/>
    <w:multiLevelType w:val="hybridMultilevel"/>
    <w:tmpl w:val="B48E46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CD697B"/>
    <w:multiLevelType w:val="hybridMultilevel"/>
    <w:tmpl w:val="EBCEBB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923535642">
    <w:abstractNumId w:val="2"/>
  </w:num>
  <w:num w:numId="2" w16cid:durableId="1507555040">
    <w:abstractNumId w:val="0"/>
  </w:num>
  <w:num w:numId="3" w16cid:durableId="6715668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40920258">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9FF"/>
    <w:rsid w:val="0001417B"/>
    <w:rsid w:val="0003283E"/>
    <w:rsid w:val="0004024C"/>
    <w:rsid w:val="00054354"/>
    <w:rsid w:val="0006068D"/>
    <w:rsid w:val="00066175"/>
    <w:rsid w:val="00077386"/>
    <w:rsid w:val="00162DEE"/>
    <w:rsid w:val="001874B0"/>
    <w:rsid w:val="001909FF"/>
    <w:rsid w:val="001B2F67"/>
    <w:rsid w:val="00254A1B"/>
    <w:rsid w:val="002C2C82"/>
    <w:rsid w:val="002D00A2"/>
    <w:rsid w:val="00305B12"/>
    <w:rsid w:val="00346D11"/>
    <w:rsid w:val="00351ACD"/>
    <w:rsid w:val="00361CF9"/>
    <w:rsid w:val="003B13FA"/>
    <w:rsid w:val="003D12E3"/>
    <w:rsid w:val="00416F8B"/>
    <w:rsid w:val="00421CB2"/>
    <w:rsid w:val="004550B9"/>
    <w:rsid w:val="00461AD8"/>
    <w:rsid w:val="00472C1E"/>
    <w:rsid w:val="004A72B1"/>
    <w:rsid w:val="004F659C"/>
    <w:rsid w:val="00511AA4"/>
    <w:rsid w:val="00521E13"/>
    <w:rsid w:val="0053429C"/>
    <w:rsid w:val="00547DE2"/>
    <w:rsid w:val="0056242D"/>
    <w:rsid w:val="00573469"/>
    <w:rsid w:val="005A2CD3"/>
    <w:rsid w:val="005B25E6"/>
    <w:rsid w:val="005B791A"/>
    <w:rsid w:val="005D0DCA"/>
    <w:rsid w:val="005D7606"/>
    <w:rsid w:val="005E4786"/>
    <w:rsid w:val="006409E2"/>
    <w:rsid w:val="00683F69"/>
    <w:rsid w:val="006E484F"/>
    <w:rsid w:val="006E54D4"/>
    <w:rsid w:val="006F4149"/>
    <w:rsid w:val="007065D2"/>
    <w:rsid w:val="00742760"/>
    <w:rsid w:val="0075041A"/>
    <w:rsid w:val="00767E16"/>
    <w:rsid w:val="007865A3"/>
    <w:rsid w:val="00793D68"/>
    <w:rsid w:val="00794A0F"/>
    <w:rsid w:val="00794D1A"/>
    <w:rsid w:val="0079722F"/>
    <w:rsid w:val="007A162C"/>
    <w:rsid w:val="007A2586"/>
    <w:rsid w:val="007B284D"/>
    <w:rsid w:val="007D0528"/>
    <w:rsid w:val="007F6A44"/>
    <w:rsid w:val="00856F8B"/>
    <w:rsid w:val="008A0E1A"/>
    <w:rsid w:val="008A787D"/>
    <w:rsid w:val="008B2ECA"/>
    <w:rsid w:val="008E76FA"/>
    <w:rsid w:val="009322C1"/>
    <w:rsid w:val="00934281"/>
    <w:rsid w:val="00995B31"/>
    <w:rsid w:val="009A2907"/>
    <w:rsid w:val="009F235B"/>
    <w:rsid w:val="00A04B90"/>
    <w:rsid w:val="00A241DA"/>
    <w:rsid w:val="00A6718F"/>
    <w:rsid w:val="00AB49A9"/>
    <w:rsid w:val="00AB4A53"/>
    <w:rsid w:val="00AC70FE"/>
    <w:rsid w:val="00AE255D"/>
    <w:rsid w:val="00B271F8"/>
    <w:rsid w:val="00B40920"/>
    <w:rsid w:val="00B412FD"/>
    <w:rsid w:val="00B665DA"/>
    <w:rsid w:val="00B83162"/>
    <w:rsid w:val="00BA3507"/>
    <w:rsid w:val="00BD35DF"/>
    <w:rsid w:val="00BE1DE4"/>
    <w:rsid w:val="00BE1E83"/>
    <w:rsid w:val="00C1367C"/>
    <w:rsid w:val="00C15A8A"/>
    <w:rsid w:val="00C73982"/>
    <w:rsid w:val="00C92601"/>
    <w:rsid w:val="00CA2249"/>
    <w:rsid w:val="00CA3687"/>
    <w:rsid w:val="00CC62F0"/>
    <w:rsid w:val="00CE0B17"/>
    <w:rsid w:val="00D40CBE"/>
    <w:rsid w:val="00D42FE6"/>
    <w:rsid w:val="00D85060"/>
    <w:rsid w:val="00D85541"/>
    <w:rsid w:val="00DB63FF"/>
    <w:rsid w:val="00DE598E"/>
    <w:rsid w:val="00E423B0"/>
    <w:rsid w:val="00E44B75"/>
    <w:rsid w:val="00E86665"/>
    <w:rsid w:val="00EE3ADA"/>
    <w:rsid w:val="00EF75BD"/>
    <w:rsid w:val="00F173F4"/>
    <w:rsid w:val="00F37332"/>
    <w:rsid w:val="00F37398"/>
    <w:rsid w:val="00F461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BE935"/>
  <w15:chartTrackingRefBased/>
  <w15:docId w15:val="{862A8D54-5840-4B55-A412-697493339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09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09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09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09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09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09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09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09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09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9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09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09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09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09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09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09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09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09FF"/>
    <w:rPr>
      <w:rFonts w:eastAsiaTheme="majorEastAsia" w:cstheme="majorBidi"/>
      <w:color w:val="272727" w:themeColor="text1" w:themeTint="D8"/>
    </w:rPr>
  </w:style>
  <w:style w:type="paragraph" w:styleId="Title">
    <w:name w:val="Title"/>
    <w:basedOn w:val="Normal"/>
    <w:next w:val="Normal"/>
    <w:link w:val="TitleChar"/>
    <w:uiPriority w:val="10"/>
    <w:qFormat/>
    <w:rsid w:val="001909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09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09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09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09FF"/>
    <w:pPr>
      <w:spacing w:before="160"/>
      <w:jc w:val="center"/>
    </w:pPr>
    <w:rPr>
      <w:i/>
      <w:iCs/>
      <w:color w:val="404040" w:themeColor="text1" w:themeTint="BF"/>
    </w:rPr>
  </w:style>
  <w:style w:type="character" w:customStyle="1" w:styleId="QuoteChar">
    <w:name w:val="Quote Char"/>
    <w:basedOn w:val="DefaultParagraphFont"/>
    <w:link w:val="Quote"/>
    <w:uiPriority w:val="29"/>
    <w:rsid w:val="001909FF"/>
    <w:rPr>
      <w:i/>
      <w:iCs/>
      <w:color w:val="404040" w:themeColor="text1" w:themeTint="BF"/>
    </w:rPr>
  </w:style>
  <w:style w:type="paragraph" w:styleId="ListParagraph">
    <w:name w:val="List Paragraph"/>
    <w:basedOn w:val="Normal"/>
    <w:uiPriority w:val="34"/>
    <w:qFormat/>
    <w:rsid w:val="001909FF"/>
    <w:pPr>
      <w:ind w:left="720"/>
      <w:contextualSpacing/>
    </w:pPr>
  </w:style>
  <w:style w:type="character" w:styleId="IntenseEmphasis">
    <w:name w:val="Intense Emphasis"/>
    <w:basedOn w:val="DefaultParagraphFont"/>
    <w:uiPriority w:val="21"/>
    <w:qFormat/>
    <w:rsid w:val="001909FF"/>
    <w:rPr>
      <w:i/>
      <w:iCs/>
      <w:color w:val="2F5496" w:themeColor="accent1" w:themeShade="BF"/>
    </w:rPr>
  </w:style>
  <w:style w:type="paragraph" w:styleId="IntenseQuote">
    <w:name w:val="Intense Quote"/>
    <w:basedOn w:val="Normal"/>
    <w:next w:val="Normal"/>
    <w:link w:val="IntenseQuoteChar"/>
    <w:uiPriority w:val="30"/>
    <w:qFormat/>
    <w:rsid w:val="001909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09FF"/>
    <w:rPr>
      <w:i/>
      <w:iCs/>
      <w:color w:val="2F5496" w:themeColor="accent1" w:themeShade="BF"/>
    </w:rPr>
  </w:style>
  <w:style w:type="character" w:styleId="IntenseReference">
    <w:name w:val="Intense Reference"/>
    <w:basedOn w:val="DefaultParagraphFont"/>
    <w:uiPriority w:val="32"/>
    <w:qFormat/>
    <w:rsid w:val="001909FF"/>
    <w:rPr>
      <w:b/>
      <w:bCs/>
      <w:smallCaps/>
      <w:color w:val="2F5496" w:themeColor="accent1" w:themeShade="BF"/>
      <w:spacing w:val="5"/>
    </w:rPr>
  </w:style>
  <w:style w:type="character" w:styleId="Hyperlink">
    <w:name w:val="Hyperlink"/>
    <w:basedOn w:val="DefaultParagraphFont"/>
    <w:uiPriority w:val="99"/>
    <w:unhideWhenUsed/>
    <w:rsid w:val="007B284D"/>
    <w:rPr>
      <w:color w:val="0563C1" w:themeColor="hyperlink"/>
      <w:u w:val="single"/>
    </w:rPr>
  </w:style>
  <w:style w:type="character" w:styleId="UnresolvedMention">
    <w:name w:val="Unresolved Mention"/>
    <w:basedOn w:val="DefaultParagraphFont"/>
    <w:uiPriority w:val="99"/>
    <w:semiHidden/>
    <w:unhideWhenUsed/>
    <w:rsid w:val="007B284D"/>
    <w:rPr>
      <w:color w:val="605E5C"/>
      <w:shd w:val="clear" w:color="auto" w:fill="E1DFDD"/>
    </w:rPr>
  </w:style>
  <w:style w:type="character" w:styleId="FollowedHyperlink">
    <w:name w:val="FollowedHyperlink"/>
    <w:basedOn w:val="DefaultParagraphFont"/>
    <w:uiPriority w:val="99"/>
    <w:semiHidden/>
    <w:unhideWhenUsed/>
    <w:rsid w:val="0075041A"/>
    <w:rPr>
      <w:color w:val="954F72" w:themeColor="followedHyperlink"/>
      <w:u w:val="single"/>
    </w:rPr>
  </w:style>
  <w:style w:type="paragraph" w:styleId="Bibliography">
    <w:name w:val="Bibliography"/>
    <w:basedOn w:val="Normal"/>
    <w:next w:val="Normal"/>
    <w:uiPriority w:val="37"/>
    <w:unhideWhenUsed/>
    <w:rsid w:val="00E44B75"/>
  </w:style>
  <w:style w:type="paragraph" w:customStyle="1" w:styleId="font-claude-response-body">
    <w:name w:val="font-claude-response-body"/>
    <w:basedOn w:val="Normal"/>
    <w:rsid w:val="00E44B7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E44B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digo.org/wp-content/uploads/2017/07/2017-KDIGO-LD-GL.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5a693aa6329951e16434f279e8f5f15e">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5c9e19704d391948ac252c03dea68179"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F4E2FC6-F1F4-4715-8562-3607395A610E}">
  <ds:schemaRefs>
    <ds:schemaRef ds:uri="http://schemas.microsoft.com/sharepoint/v3/contenttype/forms"/>
  </ds:schemaRefs>
</ds:datastoreItem>
</file>

<file path=customXml/itemProps2.xml><?xml version="1.0" encoding="utf-8"?>
<ds:datastoreItem xmlns:ds="http://schemas.openxmlformats.org/officeDocument/2006/customXml" ds:itemID="{97065433-2D8D-4B46-9ABD-1A050B52E3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325FF7-C753-466A-9B3D-DE597AD27C9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594</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 Mayes</dc:creator>
  <cp:keywords/>
  <dc:description/>
  <cp:lastModifiedBy>Conner Sweet</cp:lastModifiedBy>
  <cp:revision>3</cp:revision>
  <dcterms:created xsi:type="dcterms:W3CDTF">2026-02-12T16:57:00Z</dcterms:created>
  <dcterms:modified xsi:type="dcterms:W3CDTF">2026-02-13T14:53:00Z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