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A35DD" w14:textId="77777777" w:rsidR="00E44B75" w:rsidRPr="003123D8" w:rsidRDefault="00E44B75" w:rsidP="00E44B7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3123D8">
        <w:rPr>
          <w:rFonts w:ascii="Arial" w:hAnsi="Arial" w:cs="Arial"/>
          <w:b/>
          <w:bCs/>
          <w:sz w:val="24"/>
          <w:szCs w:val="24"/>
        </w:rPr>
        <w:t>Living Kidney Donor Candidates: evidence for exercise and rehabilitation</w:t>
      </w:r>
    </w:p>
    <w:p w14:paraId="4BE2B96A" w14:textId="3E596165" w:rsidR="00351ACD" w:rsidRPr="003123D8" w:rsidRDefault="001909FF" w:rsidP="00E44B7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3123D8">
        <w:rPr>
          <w:rFonts w:ascii="Arial" w:hAnsi="Arial" w:cs="Arial"/>
          <w:b/>
          <w:bCs/>
          <w:sz w:val="24"/>
          <w:szCs w:val="24"/>
        </w:rPr>
        <w:t>Prehabilitation:</w:t>
      </w:r>
    </w:p>
    <w:p w14:paraId="53EFEAE7" w14:textId="40F7570A" w:rsidR="001909FF" w:rsidRPr="003123D8" w:rsidRDefault="001909FF" w:rsidP="00E44B75">
      <w:p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>Prehabilitation</w:t>
      </w:r>
      <w:r w:rsidR="00511AA4" w:rsidRPr="003123D8">
        <w:rPr>
          <w:rFonts w:ascii="Arial" w:hAnsi="Arial" w:cs="Arial"/>
          <w:sz w:val="24"/>
          <w:szCs w:val="24"/>
        </w:rPr>
        <w:t xml:space="preserve"> is</w:t>
      </w:r>
      <w:r w:rsidRPr="003123D8">
        <w:rPr>
          <w:rFonts w:ascii="Arial" w:hAnsi="Arial" w:cs="Arial"/>
          <w:sz w:val="24"/>
          <w:szCs w:val="24"/>
        </w:rPr>
        <w:t xml:space="preserve"> defined as supporting the functional, nutritional and psychological wellbeing of individuals in preparation for surgery.</w:t>
      </w:r>
      <w:r w:rsidR="00521E13" w:rsidRPr="003123D8">
        <w:rPr>
          <w:rFonts w:ascii="Arial" w:hAnsi="Arial" w:cs="Arial"/>
          <w:sz w:val="24"/>
          <w:szCs w:val="24"/>
        </w:rPr>
        <w:t xml:space="preserve"> Supporting individuals with healthier lifestyle adoption such as; </w:t>
      </w:r>
      <w:r w:rsidR="00E44B75" w:rsidRPr="003123D8">
        <w:rPr>
          <w:rFonts w:ascii="Arial" w:hAnsi="Arial" w:cs="Arial"/>
          <w:sz w:val="24"/>
          <w:szCs w:val="24"/>
        </w:rPr>
        <w:t>increasing physical activity</w:t>
      </w:r>
      <w:r w:rsidR="00521E13" w:rsidRPr="003123D8">
        <w:rPr>
          <w:rFonts w:ascii="Arial" w:hAnsi="Arial" w:cs="Arial"/>
          <w:sz w:val="24"/>
          <w:szCs w:val="24"/>
        </w:rPr>
        <w:t>, improving psychological wellbeing, smoking cessation and improving nutritional status</w:t>
      </w:r>
      <w:r w:rsidR="006409E2" w:rsidRPr="003123D8">
        <w:rPr>
          <w:rFonts w:ascii="Arial" w:hAnsi="Arial" w:cs="Arial"/>
          <w:sz w:val="24"/>
          <w:szCs w:val="24"/>
        </w:rPr>
        <w:t xml:space="preserve"> </w:t>
      </w:r>
      <w:r w:rsidR="00B83162" w:rsidRPr="003123D8">
        <w:rPr>
          <w:rFonts w:ascii="Arial" w:hAnsi="Arial" w:cs="Arial"/>
          <w:sz w:val="24"/>
          <w:szCs w:val="24"/>
        </w:rPr>
        <w:t xml:space="preserve">aims </w:t>
      </w:r>
      <w:r w:rsidR="006409E2" w:rsidRPr="003123D8">
        <w:rPr>
          <w:rFonts w:ascii="Arial" w:hAnsi="Arial" w:cs="Arial"/>
          <w:sz w:val="24"/>
          <w:szCs w:val="24"/>
        </w:rPr>
        <w:t>to reduce perioperative</w:t>
      </w:r>
      <w:r w:rsidR="00AC70FE" w:rsidRPr="003123D8">
        <w:rPr>
          <w:rFonts w:ascii="Arial" w:hAnsi="Arial" w:cs="Arial"/>
          <w:sz w:val="24"/>
          <w:szCs w:val="24"/>
        </w:rPr>
        <w:t xml:space="preserve"> and post-operative</w:t>
      </w:r>
      <w:r w:rsidR="006409E2" w:rsidRPr="003123D8">
        <w:rPr>
          <w:rFonts w:ascii="Arial" w:hAnsi="Arial" w:cs="Arial"/>
          <w:sz w:val="24"/>
          <w:szCs w:val="24"/>
        </w:rPr>
        <w:t xml:space="preserve"> risk</w:t>
      </w:r>
      <w:r w:rsidR="00BA3507" w:rsidRPr="003123D8">
        <w:rPr>
          <w:rFonts w:ascii="Arial" w:hAnsi="Arial" w:cs="Arial"/>
          <w:sz w:val="24"/>
          <w:szCs w:val="24"/>
        </w:rPr>
        <w:t xml:space="preserve"> (1)</w:t>
      </w:r>
      <w:r w:rsidR="006409E2" w:rsidRPr="003123D8">
        <w:rPr>
          <w:rFonts w:ascii="Arial" w:hAnsi="Arial" w:cs="Arial"/>
          <w:sz w:val="24"/>
          <w:szCs w:val="24"/>
        </w:rPr>
        <w:t>.</w:t>
      </w:r>
      <w:r w:rsidRPr="003123D8">
        <w:rPr>
          <w:rFonts w:ascii="Arial" w:hAnsi="Arial" w:cs="Arial"/>
          <w:sz w:val="24"/>
          <w:szCs w:val="24"/>
        </w:rPr>
        <w:t xml:space="preserve"> </w:t>
      </w:r>
      <w:r w:rsidR="008A787D" w:rsidRPr="003123D8">
        <w:rPr>
          <w:rFonts w:ascii="Arial" w:hAnsi="Arial" w:cs="Arial"/>
          <w:sz w:val="24"/>
          <w:szCs w:val="24"/>
        </w:rPr>
        <w:t>Evidence</w:t>
      </w:r>
      <w:r w:rsidRPr="003123D8">
        <w:rPr>
          <w:rFonts w:ascii="Arial" w:hAnsi="Arial" w:cs="Arial"/>
          <w:sz w:val="24"/>
          <w:szCs w:val="24"/>
        </w:rPr>
        <w:t xml:space="preserve"> has demonstrated the ability of prehabilitation t</w:t>
      </w:r>
      <w:r w:rsidR="005A2CD3" w:rsidRPr="003123D8">
        <w:rPr>
          <w:rFonts w:ascii="Arial" w:hAnsi="Arial" w:cs="Arial"/>
          <w:sz w:val="24"/>
          <w:szCs w:val="24"/>
        </w:rPr>
        <w:t xml:space="preserve">o improve pre-operative functional capacity, </w:t>
      </w:r>
      <w:r w:rsidR="007D0528" w:rsidRPr="003123D8">
        <w:rPr>
          <w:rFonts w:ascii="Arial" w:hAnsi="Arial" w:cs="Arial"/>
          <w:sz w:val="24"/>
          <w:szCs w:val="24"/>
        </w:rPr>
        <w:t>support</w:t>
      </w:r>
      <w:r w:rsidR="00421CB2" w:rsidRPr="003123D8">
        <w:rPr>
          <w:rFonts w:ascii="Arial" w:hAnsi="Arial" w:cs="Arial"/>
          <w:sz w:val="24"/>
          <w:szCs w:val="24"/>
        </w:rPr>
        <w:t xml:space="preserve">ing </w:t>
      </w:r>
      <w:r w:rsidR="007D0528" w:rsidRPr="003123D8">
        <w:rPr>
          <w:rFonts w:ascii="Arial" w:hAnsi="Arial" w:cs="Arial"/>
          <w:sz w:val="24"/>
          <w:szCs w:val="24"/>
        </w:rPr>
        <w:t>early recovery post-operatively</w:t>
      </w:r>
      <w:r w:rsidR="0004024C" w:rsidRPr="003123D8">
        <w:rPr>
          <w:rFonts w:ascii="Arial" w:hAnsi="Arial" w:cs="Arial"/>
          <w:sz w:val="24"/>
          <w:szCs w:val="24"/>
        </w:rPr>
        <w:t xml:space="preserve">, with potential to reduce other outcomes such as hospital </w:t>
      </w:r>
      <w:r w:rsidR="00D42FE6" w:rsidRPr="003123D8">
        <w:rPr>
          <w:rFonts w:ascii="Arial" w:hAnsi="Arial" w:cs="Arial"/>
          <w:sz w:val="24"/>
          <w:szCs w:val="24"/>
        </w:rPr>
        <w:t xml:space="preserve">and ICU </w:t>
      </w:r>
      <w:r w:rsidR="0004024C" w:rsidRPr="003123D8">
        <w:rPr>
          <w:rFonts w:ascii="Arial" w:hAnsi="Arial" w:cs="Arial"/>
          <w:sz w:val="24"/>
          <w:szCs w:val="24"/>
        </w:rPr>
        <w:t>length of stay</w:t>
      </w:r>
      <w:r w:rsidR="007D0528" w:rsidRPr="003123D8">
        <w:rPr>
          <w:rFonts w:ascii="Arial" w:hAnsi="Arial" w:cs="Arial"/>
          <w:sz w:val="24"/>
          <w:szCs w:val="24"/>
        </w:rPr>
        <w:t xml:space="preserve"> (</w:t>
      </w:r>
      <w:r w:rsidR="00BA3507" w:rsidRPr="003123D8">
        <w:rPr>
          <w:rFonts w:ascii="Arial" w:hAnsi="Arial" w:cs="Arial"/>
          <w:sz w:val="24"/>
          <w:szCs w:val="24"/>
        </w:rPr>
        <w:t>2</w:t>
      </w:r>
      <w:r w:rsidR="007D0528" w:rsidRPr="003123D8">
        <w:rPr>
          <w:rFonts w:ascii="Arial" w:hAnsi="Arial" w:cs="Arial"/>
          <w:sz w:val="24"/>
          <w:szCs w:val="24"/>
        </w:rPr>
        <w:t>).</w:t>
      </w:r>
      <w:r w:rsidR="00421CB2" w:rsidRPr="003123D8">
        <w:rPr>
          <w:rFonts w:ascii="Arial" w:hAnsi="Arial" w:cs="Arial"/>
          <w:sz w:val="24"/>
          <w:szCs w:val="24"/>
        </w:rPr>
        <w:t xml:space="preserve"> </w:t>
      </w:r>
    </w:p>
    <w:p w14:paraId="36138020" w14:textId="0B9C15B3" w:rsidR="001909FF" w:rsidRPr="003123D8" w:rsidRDefault="001909FF" w:rsidP="00E44B75">
      <w:p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 xml:space="preserve">With regards to living kidney donors the specific evidence is </w:t>
      </w:r>
      <w:r w:rsidR="00547DE2" w:rsidRPr="003123D8">
        <w:rPr>
          <w:rFonts w:ascii="Arial" w:hAnsi="Arial" w:cs="Arial"/>
          <w:sz w:val="24"/>
          <w:szCs w:val="24"/>
        </w:rPr>
        <w:t>currently</w:t>
      </w:r>
      <w:r w:rsidRPr="003123D8">
        <w:rPr>
          <w:rFonts w:ascii="Arial" w:hAnsi="Arial" w:cs="Arial"/>
          <w:sz w:val="24"/>
          <w:szCs w:val="24"/>
        </w:rPr>
        <w:t xml:space="preserve"> limited. For liv</w:t>
      </w:r>
      <w:r w:rsidR="00CA3687" w:rsidRPr="003123D8">
        <w:rPr>
          <w:rFonts w:ascii="Arial" w:hAnsi="Arial" w:cs="Arial"/>
          <w:sz w:val="24"/>
          <w:szCs w:val="24"/>
        </w:rPr>
        <w:t>ing</w:t>
      </w:r>
      <w:r w:rsidRPr="003123D8">
        <w:rPr>
          <w:rFonts w:ascii="Arial" w:hAnsi="Arial" w:cs="Arial"/>
          <w:sz w:val="24"/>
          <w:szCs w:val="24"/>
        </w:rPr>
        <w:t xml:space="preserve"> kidney donors, donation leads to a transient reduction in cardiopulmonary reserve (approximately 20% at 7 weeks), which</w:t>
      </w:r>
      <w:r w:rsidR="00AE255D" w:rsidRPr="003123D8">
        <w:rPr>
          <w:rFonts w:ascii="Arial" w:hAnsi="Arial" w:cs="Arial"/>
          <w:sz w:val="24"/>
          <w:szCs w:val="24"/>
        </w:rPr>
        <w:t xml:space="preserve"> promisingly</w:t>
      </w:r>
      <w:r w:rsidRPr="003123D8">
        <w:rPr>
          <w:rFonts w:ascii="Arial" w:hAnsi="Arial" w:cs="Arial"/>
          <w:sz w:val="24"/>
          <w:szCs w:val="24"/>
        </w:rPr>
        <w:t xml:space="preserve"> typically recovers to baseline by 14 weeks post-operatively</w:t>
      </w:r>
      <w:r w:rsidR="00573469" w:rsidRPr="003123D8">
        <w:rPr>
          <w:rFonts w:ascii="Arial" w:hAnsi="Arial" w:cs="Arial"/>
          <w:sz w:val="24"/>
          <w:szCs w:val="24"/>
        </w:rPr>
        <w:t xml:space="preserve"> </w:t>
      </w:r>
      <w:r w:rsidR="00A6718F" w:rsidRPr="003123D8">
        <w:rPr>
          <w:rFonts w:ascii="Arial" w:hAnsi="Arial" w:cs="Arial"/>
          <w:sz w:val="24"/>
          <w:szCs w:val="24"/>
        </w:rPr>
        <w:t>(</w:t>
      </w:r>
      <w:r w:rsidR="00AB4A53" w:rsidRPr="003123D8">
        <w:rPr>
          <w:rFonts w:ascii="Arial" w:hAnsi="Arial" w:cs="Arial"/>
          <w:sz w:val="24"/>
          <w:szCs w:val="24"/>
        </w:rPr>
        <w:t>3</w:t>
      </w:r>
      <w:r w:rsidR="00A6718F" w:rsidRPr="003123D8">
        <w:rPr>
          <w:rFonts w:ascii="Arial" w:hAnsi="Arial" w:cs="Arial"/>
          <w:sz w:val="24"/>
          <w:szCs w:val="24"/>
        </w:rPr>
        <w:t>)</w:t>
      </w:r>
      <w:r w:rsidRPr="003123D8">
        <w:rPr>
          <w:rFonts w:ascii="Arial" w:hAnsi="Arial" w:cs="Arial"/>
          <w:sz w:val="24"/>
          <w:szCs w:val="24"/>
        </w:rPr>
        <w:t>.</w:t>
      </w:r>
      <w:r w:rsidR="00CA3687" w:rsidRPr="003123D8">
        <w:rPr>
          <w:rFonts w:ascii="Arial" w:hAnsi="Arial" w:cs="Arial"/>
          <w:sz w:val="24"/>
          <w:szCs w:val="24"/>
        </w:rPr>
        <w:t xml:space="preserve"> </w:t>
      </w:r>
      <w:r w:rsidR="00A04B90" w:rsidRPr="003123D8">
        <w:rPr>
          <w:rFonts w:ascii="Arial" w:hAnsi="Arial" w:cs="Arial"/>
          <w:sz w:val="24"/>
          <w:szCs w:val="24"/>
        </w:rPr>
        <w:t xml:space="preserve">With this in mind, exercise prehabilitation which aims to optimise cardiovascular fitness prior to surgery may be of benefit to place an individual in the best </w:t>
      </w:r>
      <w:r w:rsidR="00794D1A" w:rsidRPr="003123D8">
        <w:rPr>
          <w:rFonts w:ascii="Arial" w:hAnsi="Arial" w:cs="Arial"/>
          <w:sz w:val="24"/>
          <w:szCs w:val="24"/>
        </w:rPr>
        <w:t>physical condition</w:t>
      </w:r>
      <w:r w:rsidR="00A04B90" w:rsidRPr="003123D8">
        <w:rPr>
          <w:rFonts w:ascii="Arial" w:hAnsi="Arial" w:cs="Arial"/>
          <w:sz w:val="24"/>
          <w:szCs w:val="24"/>
        </w:rPr>
        <w:t xml:space="preserve"> pre-operatively</w:t>
      </w:r>
      <w:r w:rsidR="00305B12" w:rsidRPr="003123D8">
        <w:rPr>
          <w:rFonts w:ascii="Arial" w:hAnsi="Arial" w:cs="Arial"/>
          <w:sz w:val="24"/>
          <w:szCs w:val="24"/>
        </w:rPr>
        <w:t>.</w:t>
      </w:r>
      <w:r w:rsidR="005D7606" w:rsidRPr="003123D8">
        <w:rPr>
          <w:rFonts w:ascii="Arial" w:hAnsi="Arial" w:cs="Arial"/>
          <w:sz w:val="24"/>
          <w:szCs w:val="24"/>
        </w:rPr>
        <w:t xml:space="preserve"> </w:t>
      </w:r>
      <w:r w:rsidR="00995B31" w:rsidRPr="003123D8">
        <w:rPr>
          <w:rFonts w:ascii="Arial" w:hAnsi="Arial" w:cs="Arial"/>
          <w:sz w:val="24"/>
          <w:szCs w:val="24"/>
        </w:rPr>
        <w:t>Particularly</w:t>
      </w:r>
      <w:r w:rsidR="001B2F67" w:rsidRPr="003123D8">
        <w:rPr>
          <w:rFonts w:ascii="Arial" w:hAnsi="Arial" w:cs="Arial"/>
          <w:sz w:val="24"/>
          <w:szCs w:val="24"/>
        </w:rPr>
        <w:t xml:space="preserve"> important is</w:t>
      </w:r>
      <w:r w:rsidR="00995B31" w:rsidRPr="003123D8">
        <w:rPr>
          <w:rFonts w:ascii="Arial" w:hAnsi="Arial" w:cs="Arial"/>
          <w:sz w:val="24"/>
          <w:szCs w:val="24"/>
        </w:rPr>
        <w:t xml:space="preserve"> a focus on reducing risk factors associated with surgery</w:t>
      </w:r>
      <w:r w:rsidR="00EE3ADA" w:rsidRPr="003123D8">
        <w:rPr>
          <w:rFonts w:ascii="Arial" w:hAnsi="Arial" w:cs="Arial"/>
          <w:sz w:val="24"/>
          <w:szCs w:val="24"/>
        </w:rPr>
        <w:t xml:space="preserve"> (</w:t>
      </w:r>
      <w:r w:rsidR="00C15A8A" w:rsidRPr="003123D8">
        <w:rPr>
          <w:rFonts w:ascii="Arial" w:hAnsi="Arial" w:cs="Arial"/>
          <w:sz w:val="24"/>
          <w:szCs w:val="24"/>
        </w:rPr>
        <w:t xml:space="preserve">for example; </w:t>
      </w:r>
      <w:r w:rsidR="008B2ECA" w:rsidRPr="003123D8">
        <w:rPr>
          <w:rFonts w:ascii="Arial" w:hAnsi="Arial" w:cs="Arial"/>
          <w:sz w:val="24"/>
          <w:szCs w:val="24"/>
        </w:rPr>
        <w:t xml:space="preserve">smoking, physical inactivity, </w:t>
      </w:r>
      <w:r w:rsidR="00C15A8A" w:rsidRPr="003123D8">
        <w:rPr>
          <w:rFonts w:ascii="Arial" w:hAnsi="Arial" w:cs="Arial"/>
          <w:sz w:val="24"/>
          <w:szCs w:val="24"/>
        </w:rPr>
        <w:t>poor nutrition</w:t>
      </w:r>
      <w:r w:rsidR="008B2ECA" w:rsidRPr="003123D8">
        <w:rPr>
          <w:rFonts w:ascii="Arial" w:hAnsi="Arial" w:cs="Arial"/>
          <w:sz w:val="24"/>
          <w:szCs w:val="24"/>
        </w:rPr>
        <w:t xml:space="preserve"> and higher BMI)</w:t>
      </w:r>
      <w:r w:rsidR="00461AD8" w:rsidRPr="003123D8">
        <w:rPr>
          <w:rFonts w:ascii="Arial" w:hAnsi="Arial" w:cs="Arial"/>
          <w:sz w:val="24"/>
          <w:szCs w:val="24"/>
        </w:rPr>
        <w:t>,</w:t>
      </w:r>
      <w:r w:rsidR="00F46159" w:rsidRPr="003123D8">
        <w:rPr>
          <w:rFonts w:ascii="Arial" w:hAnsi="Arial" w:cs="Arial"/>
          <w:sz w:val="24"/>
          <w:szCs w:val="24"/>
        </w:rPr>
        <w:t xml:space="preserve"> as this</w:t>
      </w:r>
      <w:r w:rsidR="00461AD8" w:rsidRPr="003123D8">
        <w:rPr>
          <w:rFonts w:ascii="Arial" w:hAnsi="Arial" w:cs="Arial"/>
          <w:sz w:val="24"/>
          <w:szCs w:val="24"/>
        </w:rPr>
        <w:t xml:space="preserve"> reduces </w:t>
      </w:r>
      <w:r w:rsidR="00F46159" w:rsidRPr="003123D8">
        <w:rPr>
          <w:rFonts w:ascii="Arial" w:hAnsi="Arial" w:cs="Arial"/>
          <w:sz w:val="24"/>
          <w:szCs w:val="24"/>
        </w:rPr>
        <w:t xml:space="preserve">risks of </w:t>
      </w:r>
      <w:r w:rsidR="004550B9" w:rsidRPr="003123D8">
        <w:rPr>
          <w:rFonts w:ascii="Arial" w:hAnsi="Arial" w:cs="Arial"/>
          <w:sz w:val="24"/>
          <w:szCs w:val="24"/>
        </w:rPr>
        <w:t>peri and post-operative morbidity, and improves short and long-term surgical outcomes including functional capacity, and health related quality of life</w:t>
      </w:r>
      <w:r w:rsidR="007F6A44" w:rsidRPr="003123D8">
        <w:rPr>
          <w:rFonts w:ascii="Arial" w:hAnsi="Arial" w:cs="Arial"/>
          <w:sz w:val="24"/>
          <w:szCs w:val="24"/>
        </w:rPr>
        <w:t xml:space="preserve"> (4</w:t>
      </w:r>
      <w:r w:rsidR="00767E16" w:rsidRPr="003123D8">
        <w:rPr>
          <w:rFonts w:ascii="Arial" w:hAnsi="Arial" w:cs="Arial"/>
          <w:sz w:val="24"/>
          <w:szCs w:val="24"/>
        </w:rPr>
        <w:t>,5</w:t>
      </w:r>
      <w:r w:rsidR="007F6A44" w:rsidRPr="003123D8">
        <w:rPr>
          <w:rFonts w:ascii="Arial" w:hAnsi="Arial" w:cs="Arial"/>
          <w:sz w:val="24"/>
          <w:szCs w:val="24"/>
        </w:rPr>
        <w:t>)</w:t>
      </w:r>
      <w:r w:rsidR="004550B9" w:rsidRPr="003123D8">
        <w:rPr>
          <w:rFonts w:ascii="Arial" w:hAnsi="Arial" w:cs="Arial"/>
          <w:sz w:val="24"/>
          <w:szCs w:val="24"/>
        </w:rPr>
        <w:t xml:space="preserve">. </w:t>
      </w:r>
    </w:p>
    <w:p w14:paraId="25272E28" w14:textId="7DC1A478" w:rsidR="007B284D" w:rsidRPr="003123D8" w:rsidRDefault="00856F8B" w:rsidP="00E44B75">
      <w:p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>Guidelines state that p</w:t>
      </w:r>
      <w:r w:rsidR="007B284D" w:rsidRPr="003123D8">
        <w:rPr>
          <w:rFonts w:ascii="Arial" w:hAnsi="Arial" w:cs="Arial"/>
          <w:sz w:val="24"/>
          <w:szCs w:val="24"/>
        </w:rPr>
        <w:t>sychosocial assessment is a</w:t>
      </w:r>
      <w:r w:rsidR="00CC62F0" w:rsidRPr="003123D8">
        <w:rPr>
          <w:rFonts w:ascii="Arial" w:hAnsi="Arial" w:cs="Arial"/>
          <w:sz w:val="24"/>
          <w:szCs w:val="24"/>
        </w:rPr>
        <w:t xml:space="preserve">n essential </w:t>
      </w:r>
      <w:r w:rsidR="007B284D" w:rsidRPr="003123D8">
        <w:rPr>
          <w:rFonts w:ascii="Arial" w:hAnsi="Arial" w:cs="Arial"/>
          <w:sz w:val="24"/>
          <w:szCs w:val="24"/>
        </w:rPr>
        <w:t>part of the evaluation of each donor candidate and should be undertaken by a qualified member of staff who is not involved in the recipient</w:t>
      </w:r>
      <w:r w:rsidR="00472C1E" w:rsidRPr="003123D8">
        <w:rPr>
          <w:rFonts w:ascii="Arial" w:hAnsi="Arial" w:cs="Arial"/>
          <w:sz w:val="24"/>
          <w:szCs w:val="24"/>
        </w:rPr>
        <w:t>’</w:t>
      </w:r>
      <w:r w:rsidR="007B284D" w:rsidRPr="003123D8">
        <w:rPr>
          <w:rFonts w:ascii="Arial" w:hAnsi="Arial" w:cs="Arial"/>
          <w:sz w:val="24"/>
          <w:szCs w:val="24"/>
        </w:rPr>
        <w:t>s care</w:t>
      </w:r>
      <w:r w:rsidR="0079722F" w:rsidRPr="003123D8">
        <w:rPr>
          <w:rFonts w:ascii="Arial" w:hAnsi="Arial" w:cs="Arial"/>
          <w:sz w:val="24"/>
          <w:szCs w:val="24"/>
        </w:rPr>
        <w:t xml:space="preserve"> (</w:t>
      </w:r>
      <w:r w:rsidR="00CE0B17" w:rsidRPr="003123D8">
        <w:rPr>
          <w:rFonts w:ascii="Arial" w:hAnsi="Arial" w:cs="Arial"/>
          <w:sz w:val="24"/>
          <w:szCs w:val="24"/>
        </w:rPr>
        <w:t>6</w:t>
      </w:r>
      <w:r w:rsidR="0079722F" w:rsidRPr="003123D8">
        <w:rPr>
          <w:rFonts w:ascii="Arial" w:hAnsi="Arial" w:cs="Arial"/>
          <w:sz w:val="24"/>
          <w:szCs w:val="24"/>
        </w:rPr>
        <w:t>)</w:t>
      </w:r>
      <w:r w:rsidR="007B284D" w:rsidRPr="003123D8">
        <w:rPr>
          <w:rFonts w:ascii="Arial" w:hAnsi="Arial" w:cs="Arial"/>
          <w:sz w:val="24"/>
          <w:szCs w:val="24"/>
        </w:rPr>
        <w:t xml:space="preserve">. </w:t>
      </w:r>
      <w:r w:rsidR="00F37332" w:rsidRPr="003123D8">
        <w:rPr>
          <w:rFonts w:ascii="Arial" w:hAnsi="Arial" w:cs="Arial"/>
          <w:sz w:val="24"/>
          <w:szCs w:val="24"/>
        </w:rPr>
        <w:t>This</w:t>
      </w:r>
      <w:r w:rsidR="007B284D" w:rsidRPr="003123D8">
        <w:rPr>
          <w:rFonts w:ascii="Arial" w:hAnsi="Arial" w:cs="Arial"/>
          <w:sz w:val="24"/>
          <w:szCs w:val="24"/>
        </w:rPr>
        <w:t xml:space="preserve"> provides a necessary opportunity to assess an </w:t>
      </w:r>
      <w:r w:rsidR="00B271F8" w:rsidRPr="003123D8">
        <w:rPr>
          <w:rFonts w:ascii="Arial" w:hAnsi="Arial" w:cs="Arial"/>
          <w:sz w:val="24"/>
          <w:szCs w:val="24"/>
        </w:rPr>
        <w:t>individual’s</w:t>
      </w:r>
      <w:r w:rsidR="007B284D" w:rsidRPr="003123D8">
        <w:rPr>
          <w:rFonts w:ascii="Arial" w:hAnsi="Arial" w:cs="Arial"/>
          <w:sz w:val="24"/>
          <w:szCs w:val="24"/>
        </w:rPr>
        <w:t xml:space="preserve"> mental health, and provide </w:t>
      </w:r>
      <w:r w:rsidR="005B791A" w:rsidRPr="003123D8">
        <w:rPr>
          <w:rFonts w:ascii="Arial" w:hAnsi="Arial" w:cs="Arial"/>
          <w:sz w:val="24"/>
          <w:szCs w:val="24"/>
        </w:rPr>
        <w:t>interventions to support</w:t>
      </w:r>
      <w:r w:rsidR="007B284D" w:rsidRPr="003123D8">
        <w:rPr>
          <w:rFonts w:ascii="Arial" w:hAnsi="Arial" w:cs="Arial"/>
          <w:sz w:val="24"/>
          <w:szCs w:val="24"/>
        </w:rPr>
        <w:t xml:space="preserve"> </w:t>
      </w:r>
      <w:r w:rsidR="006E484F" w:rsidRPr="003123D8">
        <w:rPr>
          <w:rFonts w:ascii="Arial" w:hAnsi="Arial" w:cs="Arial"/>
          <w:sz w:val="24"/>
          <w:szCs w:val="24"/>
        </w:rPr>
        <w:t>psychological wellbeing</w:t>
      </w:r>
      <w:r w:rsidR="00077386" w:rsidRPr="003123D8">
        <w:rPr>
          <w:rFonts w:ascii="Arial" w:hAnsi="Arial" w:cs="Arial"/>
          <w:sz w:val="24"/>
          <w:szCs w:val="24"/>
        </w:rPr>
        <w:t xml:space="preserve"> in </w:t>
      </w:r>
      <w:r w:rsidR="007B284D" w:rsidRPr="003123D8">
        <w:rPr>
          <w:rFonts w:ascii="Arial" w:hAnsi="Arial" w:cs="Arial"/>
          <w:sz w:val="24"/>
          <w:szCs w:val="24"/>
        </w:rPr>
        <w:t>preparation for surgery and recovery post-operatively</w:t>
      </w:r>
      <w:r w:rsidR="00A241DA" w:rsidRPr="003123D8">
        <w:rPr>
          <w:rFonts w:ascii="Arial" w:hAnsi="Arial" w:cs="Arial"/>
          <w:sz w:val="24"/>
          <w:szCs w:val="24"/>
        </w:rPr>
        <w:t xml:space="preserve"> if required.</w:t>
      </w:r>
    </w:p>
    <w:p w14:paraId="26EACDA0" w14:textId="0A328C38" w:rsidR="001909FF" w:rsidRPr="003123D8" w:rsidRDefault="00794A0F" w:rsidP="00E44B75">
      <w:p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>A particular focus on prehabilitation should be in t</w:t>
      </w:r>
      <w:r w:rsidR="002C2C82" w:rsidRPr="003123D8">
        <w:rPr>
          <w:rFonts w:ascii="Arial" w:hAnsi="Arial" w:cs="Arial"/>
          <w:sz w:val="24"/>
          <w:szCs w:val="24"/>
        </w:rPr>
        <w:t>hose individuals living with higher body mass index (BMI</w:t>
      </w:r>
      <w:r w:rsidRPr="003123D8">
        <w:rPr>
          <w:rFonts w:ascii="Arial" w:hAnsi="Arial" w:cs="Arial"/>
          <w:sz w:val="24"/>
          <w:szCs w:val="24"/>
        </w:rPr>
        <w:t>), as</w:t>
      </w:r>
      <w:r w:rsidR="00DB63FF" w:rsidRPr="003123D8">
        <w:rPr>
          <w:rFonts w:ascii="Arial" w:hAnsi="Arial" w:cs="Arial"/>
          <w:sz w:val="24"/>
          <w:szCs w:val="24"/>
        </w:rPr>
        <w:t xml:space="preserve"> obesity is</w:t>
      </w:r>
      <w:r w:rsidR="0006068D" w:rsidRPr="003123D8">
        <w:rPr>
          <w:rFonts w:ascii="Arial" w:hAnsi="Arial" w:cs="Arial"/>
          <w:sz w:val="24"/>
          <w:szCs w:val="24"/>
        </w:rPr>
        <w:t xml:space="preserve"> linked to a higher rate of surgical complications and increased risks of </w:t>
      </w:r>
      <w:r w:rsidR="00B40920" w:rsidRPr="003123D8">
        <w:rPr>
          <w:rFonts w:ascii="Arial" w:hAnsi="Arial" w:cs="Arial"/>
          <w:sz w:val="24"/>
          <w:szCs w:val="24"/>
        </w:rPr>
        <w:t>longer-term</w:t>
      </w:r>
      <w:r w:rsidR="0006068D" w:rsidRPr="003123D8">
        <w:rPr>
          <w:rFonts w:ascii="Arial" w:hAnsi="Arial" w:cs="Arial"/>
          <w:sz w:val="24"/>
          <w:szCs w:val="24"/>
        </w:rPr>
        <w:t xml:space="preserve"> health complications such as hypertension, cardiovascular disease</w:t>
      </w:r>
      <w:r w:rsidR="0003283E" w:rsidRPr="003123D8">
        <w:rPr>
          <w:rFonts w:ascii="Arial" w:hAnsi="Arial" w:cs="Arial"/>
          <w:sz w:val="24"/>
          <w:szCs w:val="24"/>
        </w:rPr>
        <w:t>, proteinuria</w:t>
      </w:r>
      <w:r w:rsidR="0006068D" w:rsidRPr="003123D8">
        <w:rPr>
          <w:rFonts w:ascii="Arial" w:hAnsi="Arial" w:cs="Arial"/>
          <w:sz w:val="24"/>
          <w:szCs w:val="24"/>
        </w:rPr>
        <w:t xml:space="preserve"> and renal impairment</w:t>
      </w:r>
      <w:r w:rsidR="006E54D4" w:rsidRPr="003123D8">
        <w:rPr>
          <w:rFonts w:ascii="Arial" w:hAnsi="Arial" w:cs="Arial"/>
          <w:sz w:val="24"/>
          <w:szCs w:val="24"/>
        </w:rPr>
        <w:t xml:space="preserve"> </w:t>
      </w:r>
      <w:r w:rsidR="00162DEE" w:rsidRPr="003123D8">
        <w:rPr>
          <w:rFonts w:ascii="Arial" w:hAnsi="Arial" w:cs="Arial"/>
          <w:sz w:val="24"/>
          <w:szCs w:val="24"/>
        </w:rPr>
        <w:t>(</w:t>
      </w:r>
      <w:r w:rsidR="00CE0B17" w:rsidRPr="003123D8">
        <w:rPr>
          <w:rFonts w:ascii="Arial" w:hAnsi="Arial" w:cs="Arial"/>
          <w:sz w:val="24"/>
          <w:szCs w:val="24"/>
        </w:rPr>
        <w:t>7</w:t>
      </w:r>
      <w:r w:rsidR="007A2586" w:rsidRPr="003123D8">
        <w:rPr>
          <w:rFonts w:ascii="Arial" w:hAnsi="Arial" w:cs="Arial"/>
          <w:sz w:val="24"/>
          <w:szCs w:val="24"/>
        </w:rPr>
        <w:t>,8</w:t>
      </w:r>
      <w:r w:rsidR="00162DEE" w:rsidRPr="003123D8">
        <w:rPr>
          <w:rFonts w:ascii="Arial" w:hAnsi="Arial" w:cs="Arial"/>
          <w:sz w:val="24"/>
          <w:szCs w:val="24"/>
        </w:rPr>
        <w:t>)</w:t>
      </w:r>
      <w:r w:rsidR="0006068D" w:rsidRPr="003123D8">
        <w:rPr>
          <w:rFonts w:ascii="Arial" w:hAnsi="Arial" w:cs="Arial"/>
          <w:sz w:val="24"/>
          <w:szCs w:val="24"/>
        </w:rPr>
        <w:t xml:space="preserve">. </w:t>
      </w:r>
      <w:r w:rsidR="00A6718F" w:rsidRPr="003123D8">
        <w:rPr>
          <w:rFonts w:ascii="Arial" w:hAnsi="Arial" w:cs="Arial"/>
          <w:sz w:val="24"/>
          <w:szCs w:val="24"/>
        </w:rPr>
        <w:t>For individuals who are overweight or living with obesity, lifestyle modification is advised, specifically dietary and exercise interventions</w:t>
      </w:r>
      <w:r w:rsidR="0053429C" w:rsidRPr="003123D8">
        <w:rPr>
          <w:rFonts w:ascii="Arial" w:hAnsi="Arial" w:cs="Arial"/>
          <w:sz w:val="24"/>
          <w:szCs w:val="24"/>
        </w:rPr>
        <w:t xml:space="preserve"> (6)</w:t>
      </w:r>
      <w:r w:rsidR="00A6718F" w:rsidRPr="003123D8">
        <w:rPr>
          <w:rFonts w:ascii="Arial" w:hAnsi="Arial" w:cs="Arial"/>
          <w:sz w:val="24"/>
          <w:szCs w:val="24"/>
        </w:rPr>
        <w:t>.</w:t>
      </w:r>
      <w:r w:rsidR="00DB63FF" w:rsidRPr="003123D8">
        <w:rPr>
          <w:rFonts w:ascii="Arial" w:hAnsi="Arial" w:cs="Arial"/>
          <w:sz w:val="24"/>
          <w:szCs w:val="24"/>
        </w:rPr>
        <w:t xml:space="preserve"> The</w:t>
      </w:r>
      <w:r w:rsidR="00A6718F" w:rsidRPr="003123D8">
        <w:rPr>
          <w:rFonts w:ascii="Arial" w:hAnsi="Arial" w:cs="Arial"/>
          <w:sz w:val="24"/>
          <w:szCs w:val="24"/>
        </w:rPr>
        <w:t xml:space="preserve"> </w:t>
      </w:r>
      <w:r w:rsidR="0053429C" w:rsidRPr="003123D8">
        <w:rPr>
          <w:rFonts w:ascii="Arial" w:hAnsi="Arial" w:cs="Arial"/>
          <w:sz w:val="24"/>
          <w:szCs w:val="24"/>
        </w:rPr>
        <w:t xml:space="preserve">2017 </w:t>
      </w:r>
      <w:r w:rsidR="00DB63FF" w:rsidRPr="003123D8">
        <w:rPr>
          <w:rFonts w:ascii="Arial" w:hAnsi="Arial" w:cs="Arial"/>
          <w:sz w:val="24"/>
          <w:szCs w:val="24"/>
        </w:rPr>
        <w:t>KDIGO</w:t>
      </w:r>
      <w:r w:rsidR="00A6718F" w:rsidRPr="003123D8">
        <w:rPr>
          <w:rFonts w:ascii="Arial" w:hAnsi="Arial" w:cs="Arial"/>
          <w:sz w:val="24"/>
          <w:szCs w:val="24"/>
        </w:rPr>
        <w:t xml:space="preserve"> guideline, recommends that </w:t>
      </w:r>
      <w:r w:rsidR="00A6718F" w:rsidRPr="003123D8">
        <w:rPr>
          <w:rFonts w:ascii="Arial" w:hAnsi="Arial" w:cs="Arial"/>
          <w:sz w:val="24"/>
          <w:szCs w:val="24"/>
        </w:rPr>
        <w:lastRenderedPageBreak/>
        <w:t>obese donor candidates be counselled about the long-term risks of obesity, advised to pursue weight loss before donation, and to maintain a healthy body weight after donation (</w:t>
      </w:r>
      <w:r w:rsidR="00CE0B17" w:rsidRPr="003123D8">
        <w:rPr>
          <w:rFonts w:ascii="Arial" w:hAnsi="Arial" w:cs="Arial"/>
          <w:sz w:val="24"/>
          <w:szCs w:val="24"/>
        </w:rPr>
        <w:t>6</w:t>
      </w:r>
      <w:r w:rsidR="00A6718F" w:rsidRPr="003123D8">
        <w:rPr>
          <w:rFonts w:ascii="Arial" w:hAnsi="Arial" w:cs="Arial"/>
          <w:sz w:val="24"/>
          <w:szCs w:val="24"/>
        </w:rPr>
        <w:t xml:space="preserve">). </w:t>
      </w:r>
    </w:p>
    <w:p w14:paraId="7237772B" w14:textId="03172A18" w:rsidR="00793D68" w:rsidRPr="003123D8" w:rsidRDefault="00793D68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 xml:space="preserve">Fong M, Kaner E, Rowland M, Graham HE, McEvoy L, Hallsworth K, </w:t>
      </w:r>
      <w:proofErr w:type="spellStart"/>
      <w:r w:rsidRPr="003123D8">
        <w:rPr>
          <w:rFonts w:ascii="Arial" w:hAnsi="Arial" w:cs="Arial"/>
          <w:sz w:val="24"/>
          <w:szCs w:val="24"/>
        </w:rPr>
        <w:t>Cucato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G, Gibney C, </w:t>
      </w:r>
      <w:proofErr w:type="spellStart"/>
      <w:r w:rsidRPr="003123D8">
        <w:rPr>
          <w:rFonts w:ascii="Arial" w:hAnsi="Arial" w:cs="Arial"/>
          <w:sz w:val="24"/>
          <w:szCs w:val="24"/>
        </w:rPr>
        <w:t>Nedkova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M, Prentis J, Madigan CD. The effect of preoperative behaviour </w:t>
      </w:r>
      <w:proofErr w:type="gramStart"/>
      <w:r w:rsidRPr="003123D8">
        <w:rPr>
          <w:rFonts w:ascii="Arial" w:hAnsi="Arial" w:cs="Arial"/>
          <w:sz w:val="24"/>
          <w:szCs w:val="24"/>
        </w:rPr>
        <w:t>change</w:t>
      </w:r>
      <w:proofErr w:type="gramEnd"/>
      <w:r w:rsidRPr="003123D8">
        <w:rPr>
          <w:rFonts w:ascii="Arial" w:hAnsi="Arial" w:cs="Arial"/>
          <w:sz w:val="24"/>
          <w:szCs w:val="24"/>
        </w:rPr>
        <w:t xml:space="preserve"> interventions on pre- and post-surgery health behaviours, health outcomes, and health inequalities in adults: A systematic review and meta-analyses. </w:t>
      </w:r>
      <w:proofErr w:type="spellStart"/>
      <w:r w:rsidRPr="003123D8">
        <w:rPr>
          <w:rFonts w:ascii="Arial" w:hAnsi="Arial" w:cs="Arial"/>
          <w:sz w:val="24"/>
          <w:szCs w:val="24"/>
        </w:rPr>
        <w:t>PLoS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One. 2023 Jul 5;18(7</w:t>
      </w:r>
      <w:proofErr w:type="gramStart"/>
      <w:r w:rsidRPr="003123D8">
        <w:rPr>
          <w:rFonts w:ascii="Arial" w:hAnsi="Arial" w:cs="Arial"/>
          <w:sz w:val="24"/>
          <w:szCs w:val="24"/>
        </w:rPr>
        <w:t>):e</w:t>
      </w:r>
      <w:proofErr w:type="gramEnd"/>
      <w:r w:rsidRPr="003123D8">
        <w:rPr>
          <w:rFonts w:ascii="Arial" w:hAnsi="Arial" w:cs="Arial"/>
          <w:sz w:val="24"/>
          <w:szCs w:val="24"/>
        </w:rPr>
        <w:t xml:space="preserve">0286757. </w:t>
      </w:r>
      <w:proofErr w:type="spellStart"/>
      <w:r w:rsidRPr="003123D8">
        <w:rPr>
          <w:rFonts w:ascii="Arial" w:hAnsi="Arial" w:cs="Arial"/>
          <w:sz w:val="24"/>
          <w:szCs w:val="24"/>
        </w:rPr>
        <w:t>doi</w:t>
      </w:r>
      <w:proofErr w:type="spellEnd"/>
      <w:r w:rsidRPr="003123D8">
        <w:rPr>
          <w:rFonts w:ascii="Arial" w:hAnsi="Arial" w:cs="Arial"/>
          <w:sz w:val="24"/>
          <w:szCs w:val="24"/>
        </w:rPr>
        <w:t>: 10.1371/journal.pone.0286757. PMID: 37406002; PMCID: PMC10321619.</w:t>
      </w:r>
    </w:p>
    <w:p w14:paraId="00044166" w14:textId="77777777" w:rsidR="009A2907" w:rsidRPr="003123D8" w:rsidRDefault="0075041A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>McIsaac DI, Kidd G, Gillis C, Branje K, Al-Bayati M, Baxi A, Grudzinski AL, Boland L, Veroniki AA, Wolfe D, Hutton B. Relative efficacy of prehabilitation interventions and their components: systematic review with network and component network meta-analyses of randomised controlled trials. BMJ. 2025 Jan 22;</w:t>
      </w:r>
      <w:proofErr w:type="gramStart"/>
      <w:r w:rsidRPr="003123D8">
        <w:rPr>
          <w:rFonts w:ascii="Arial" w:hAnsi="Arial" w:cs="Arial"/>
          <w:sz w:val="24"/>
          <w:szCs w:val="24"/>
        </w:rPr>
        <w:t>388:e</w:t>
      </w:r>
      <w:proofErr w:type="gramEnd"/>
      <w:r w:rsidRPr="003123D8">
        <w:rPr>
          <w:rFonts w:ascii="Arial" w:hAnsi="Arial" w:cs="Arial"/>
          <w:sz w:val="24"/>
          <w:szCs w:val="24"/>
        </w:rPr>
        <w:t xml:space="preserve">081164. </w:t>
      </w:r>
      <w:proofErr w:type="spellStart"/>
      <w:r w:rsidRPr="003123D8">
        <w:rPr>
          <w:rFonts w:ascii="Arial" w:hAnsi="Arial" w:cs="Arial"/>
          <w:sz w:val="24"/>
          <w:szCs w:val="24"/>
        </w:rPr>
        <w:t>doi</w:t>
      </w:r>
      <w:proofErr w:type="spellEnd"/>
      <w:r w:rsidRPr="003123D8">
        <w:rPr>
          <w:rFonts w:ascii="Arial" w:hAnsi="Arial" w:cs="Arial"/>
          <w:sz w:val="24"/>
          <w:szCs w:val="24"/>
        </w:rPr>
        <w:t>: 10.1136/bmj-2024-081164. PMID: 39843215; PMCID: PMC11752451.</w:t>
      </w:r>
    </w:p>
    <w:p w14:paraId="1C33495D" w14:textId="1A4C667B" w:rsidR="00361CF9" w:rsidRPr="003123D8" w:rsidRDefault="00361CF9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 xml:space="preserve">Angell J, Dodds N, </w:t>
      </w:r>
      <w:proofErr w:type="spellStart"/>
      <w:r w:rsidRPr="003123D8">
        <w:rPr>
          <w:rFonts w:ascii="Arial" w:hAnsi="Arial" w:cs="Arial"/>
          <w:sz w:val="24"/>
          <w:szCs w:val="24"/>
        </w:rPr>
        <w:t>Darweish-Mednuik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AM, Lewis S, Pyke M, Mitchell DC, Hamilton K, White P, </w:t>
      </w:r>
      <w:proofErr w:type="spellStart"/>
      <w:r w:rsidRPr="003123D8">
        <w:rPr>
          <w:rFonts w:ascii="Arial" w:hAnsi="Arial" w:cs="Arial"/>
          <w:sz w:val="24"/>
          <w:szCs w:val="24"/>
        </w:rPr>
        <w:t>Tolchard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S. Characterising recovery from renal transplantation and live-related donation using cardiopulmonary exercise testing. </w:t>
      </w:r>
      <w:proofErr w:type="spellStart"/>
      <w:r w:rsidRPr="003123D8">
        <w:rPr>
          <w:rFonts w:ascii="Arial" w:hAnsi="Arial" w:cs="Arial"/>
          <w:sz w:val="24"/>
          <w:szCs w:val="24"/>
        </w:rPr>
        <w:t>Disabil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23D8">
        <w:rPr>
          <w:rFonts w:ascii="Arial" w:hAnsi="Arial" w:cs="Arial"/>
          <w:sz w:val="24"/>
          <w:szCs w:val="24"/>
        </w:rPr>
        <w:t>Rehabil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. 2021 Jun;43(12):1692-1698. </w:t>
      </w:r>
      <w:proofErr w:type="spellStart"/>
      <w:r w:rsidRPr="003123D8">
        <w:rPr>
          <w:rFonts w:ascii="Arial" w:hAnsi="Arial" w:cs="Arial"/>
          <w:sz w:val="24"/>
          <w:szCs w:val="24"/>
        </w:rPr>
        <w:t>doi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: 10.1080/09638288.2019.1674387. </w:t>
      </w:r>
      <w:proofErr w:type="spellStart"/>
      <w:r w:rsidRPr="003123D8">
        <w:rPr>
          <w:rFonts w:ascii="Arial" w:hAnsi="Arial" w:cs="Arial"/>
          <w:sz w:val="24"/>
          <w:szCs w:val="24"/>
        </w:rPr>
        <w:t>Epub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2019 Oct 10. PMID: 31600094.</w:t>
      </w:r>
    </w:p>
    <w:p w14:paraId="7A29A08E" w14:textId="77777777" w:rsidR="007F6A44" w:rsidRPr="003123D8" w:rsidRDefault="007F6A44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 xml:space="preserve">Levy N, Grocott MP, Carli F. Patient optimisation before surgery: a clear and </w:t>
      </w:r>
    </w:p>
    <w:p w14:paraId="7E14AC79" w14:textId="50ADA9D8" w:rsidR="007F6A44" w:rsidRPr="003123D8" w:rsidRDefault="007F6A44" w:rsidP="00E44B75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>present challenge in peri-operative care. Anaesthesia. 2019; 74: 3-6.</w:t>
      </w:r>
    </w:p>
    <w:p w14:paraId="14D72CDA" w14:textId="77777777" w:rsidR="00BE1DE4" w:rsidRPr="003123D8" w:rsidRDefault="00BE1DE4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3123D8">
        <w:rPr>
          <w:rFonts w:ascii="Arial" w:hAnsi="Arial" w:cs="Arial"/>
          <w:sz w:val="24"/>
          <w:szCs w:val="24"/>
        </w:rPr>
        <w:t>Durrand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J, Singh SJ, </w:t>
      </w:r>
      <w:proofErr w:type="spellStart"/>
      <w:r w:rsidRPr="003123D8">
        <w:rPr>
          <w:rFonts w:ascii="Arial" w:hAnsi="Arial" w:cs="Arial"/>
          <w:sz w:val="24"/>
          <w:szCs w:val="24"/>
        </w:rPr>
        <w:t>Danjoux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G. Prehabilitation. Clin Med (Lond). 2019 Nov;19(6):458-464. </w:t>
      </w:r>
      <w:proofErr w:type="spellStart"/>
      <w:r w:rsidRPr="003123D8">
        <w:rPr>
          <w:rFonts w:ascii="Arial" w:hAnsi="Arial" w:cs="Arial"/>
          <w:sz w:val="24"/>
          <w:szCs w:val="24"/>
        </w:rPr>
        <w:t>doi</w:t>
      </w:r>
      <w:proofErr w:type="spellEnd"/>
      <w:r w:rsidRPr="003123D8">
        <w:rPr>
          <w:rFonts w:ascii="Arial" w:hAnsi="Arial" w:cs="Arial"/>
          <w:sz w:val="24"/>
          <w:szCs w:val="24"/>
        </w:rPr>
        <w:t>: 10.7861/clinmed.2019-0257. PMID: 31732585; PMCID: PMC6899232.</w:t>
      </w:r>
    </w:p>
    <w:p w14:paraId="1D479C70" w14:textId="15F34BB4" w:rsidR="00CE0B17" w:rsidRPr="003123D8" w:rsidRDefault="00416F8B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t xml:space="preserve">Kidney Disease: Improving Global Outcomes (KDIGO) Transplant Work Group. KDIGO clinical practice guideline on the evaluation and care of living kidney donors [Internet]. KDIGO; 2017 [cited </w:t>
      </w:r>
      <w:r w:rsidR="00346D11" w:rsidRPr="003123D8">
        <w:rPr>
          <w:rFonts w:ascii="Arial" w:hAnsi="Arial" w:cs="Arial"/>
          <w:sz w:val="24"/>
          <w:szCs w:val="24"/>
        </w:rPr>
        <w:t>06Feb2026</w:t>
      </w:r>
      <w:r w:rsidRPr="003123D8">
        <w:rPr>
          <w:rFonts w:ascii="Arial" w:hAnsi="Arial" w:cs="Arial"/>
          <w:sz w:val="24"/>
          <w:szCs w:val="24"/>
        </w:rPr>
        <w:t xml:space="preserve">]. Available from: </w:t>
      </w:r>
      <w:hyperlink r:id="rId8" w:tgtFrame="_new" w:history="1">
        <w:r w:rsidRPr="003123D8">
          <w:rPr>
            <w:rStyle w:val="Hyperlink"/>
            <w:rFonts w:ascii="Arial" w:hAnsi="Arial" w:cs="Arial"/>
            <w:sz w:val="24"/>
            <w:szCs w:val="24"/>
          </w:rPr>
          <w:t>https://kdigo.org/wp-content/uploads/2017/07/2017-KDIGO-LD-GL.pdf</w:t>
        </w:r>
      </w:hyperlink>
    </w:p>
    <w:p w14:paraId="6C9BC335" w14:textId="2A3062B6" w:rsidR="007B284D" w:rsidRPr="003123D8" w:rsidRDefault="00F37398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3123D8">
        <w:rPr>
          <w:rFonts w:ascii="Arial" w:hAnsi="Arial" w:cs="Arial"/>
          <w:sz w:val="24"/>
          <w:szCs w:val="24"/>
        </w:rPr>
        <w:t>Muzaale</w:t>
      </w:r>
      <w:proofErr w:type="spellEnd"/>
      <w:r w:rsidRPr="003123D8">
        <w:rPr>
          <w:rFonts w:ascii="Arial" w:hAnsi="Arial" w:cs="Arial"/>
          <w:sz w:val="24"/>
          <w:szCs w:val="24"/>
        </w:rPr>
        <w:t xml:space="preserve"> AD, Massie AB, Wang MC, Montgomery RA, McBride MA, Wainright JL et al. Risk of end-stage renal disease following live kidney donation. JAMA 2014; 311: 579–586</w:t>
      </w:r>
    </w:p>
    <w:p w14:paraId="08163B5A" w14:textId="65F2089F" w:rsidR="00E44B75" w:rsidRPr="003123D8" w:rsidRDefault="007A2586" w:rsidP="00E44B7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3123D8">
        <w:rPr>
          <w:rFonts w:ascii="Arial" w:hAnsi="Arial" w:cs="Arial"/>
          <w:sz w:val="24"/>
          <w:szCs w:val="24"/>
        </w:rPr>
        <w:lastRenderedPageBreak/>
        <w:t xml:space="preserve">British Transplantation Society, Renal Association. </w:t>
      </w:r>
      <w:r w:rsidRPr="003123D8">
        <w:rPr>
          <w:rFonts w:ascii="Arial" w:hAnsi="Arial" w:cs="Arial"/>
          <w:i/>
          <w:iCs/>
          <w:sz w:val="24"/>
          <w:szCs w:val="24"/>
        </w:rPr>
        <w:t>Guidelines for Living Donor Kidney Transplantation</w:t>
      </w:r>
      <w:r w:rsidRPr="003123D8">
        <w:rPr>
          <w:rFonts w:ascii="Arial" w:hAnsi="Arial" w:cs="Arial"/>
          <w:sz w:val="24"/>
          <w:szCs w:val="24"/>
        </w:rPr>
        <w:t xml:space="preserve"> [Internet]. 4th ed. British Transplantation Society; 2018 [cited </w:t>
      </w:r>
      <w:r w:rsidR="00AB49A9" w:rsidRPr="003123D8">
        <w:rPr>
          <w:rFonts w:ascii="Arial" w:hAnsi="Arial" w:cs="Arial"/>
          <w:sz w:val="24"/>
          <w:szCs w:val="24"/>
        </w:rPr>
        <w:t>06Feb</w:t>
      </w:r>
      <w:r w:rsidRPr="003123D8">
        <w:rPr>
          <w:rFonts w:ascii="Arial" w:hAnsi="Arial" w:cs="Arial"/>
          <w:sz w:val="24"/>
          <w:szCs w:val="24"/>
        </w:rPr>
        <w:t xml:space="preserve">2026]. Available from: </w:t>
      </w:r>
      <w:hyperlink r:id="rId9" w:tgtFrame="_new" w:history="1">
        <w:r w:rsidRPr="003123D8">
          <w:rPr>
            <w:rStyle w:val="Hyperlink"/>
            <w:rFonts w:ascii="Arial" w:hAnsi="Arial" w:cs="Arial"/>
            <w:sz w:val="24"/>
            <w:szCs w:val="24"/>
          </w:rPr>
          <w:t>https://bts.org.uk/wp-content/uploads/2018/07/FINAL_LDKT-guidelines_June-2018.pdf</w:t>
        </w:r>
      </w:hyperlink>
    </w:p>
    <w:sectPr w:rsidR="00E44B75" w:rsidRPr="003123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9076C"/>
    <w:multiLevelType w:val="hybridMultilevel"/>
    <w:tmpl w:val="B48E46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14632"/>
    <w:multiLevelType w:val="hybridMultilevel"/>
    <w:tmpl w:val="BB2ABF10"/>
    <w:lvl w:ilvl="0" w:tplc="0809000F">
      <w:start w:val="3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05683E"/>
    <w:multiLevelType w:val="hybridMultilevel"/>
    <w:tmpl w:val="B48E46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CD697B"/>
    <w:multiLevelType w:val="hybridMultilevel"/>
    <w:tmpl w:val="EBCEBB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23535642">
    <w:abstractNumId w:val="2"/>
  </w:num>
  <w:num w:numId="2" w16cid:durableId="1507555040">
    <w:abstractNumId w:val="0"/>
  </w:num>
  <w:num w:numId="3" w16cid:durableId="6715668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40920258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9FF"/>
    <w:rsid w:val="0001417B"/>
    <w:rsid w:val="0003283E"/>
    <w:rsid w:val="0004024C"/>
    <w:rsid w:val="00054354"/>
    <w:rsid w:val="0006068D"/>
    <w:rsid w:val="00066175"/>
    <w:rsid w:val="00077386"/>
    <w:rsid w:val="00162DEE"/>
    <w:rsid w:val="001874B0"/>
    <w:rsid w:val="001909FF"/>
    <w:rsid w:val="001B2F67"/>
    <w:rsid w:val="00254A1B"/>
    <w:rsid w:val="002B1D6F"/>
    <w:rsid w:val="002C2C82"/>
    <w:rsid w:val="002D00A2"/>
    <w:rsid w:val="00305B12"/>
    <w:rsid w:val="003123D8"/>
    <w:rsid w:val="00346D11"/>
    <w:rsid w:val="00351ACD"/>
    <w:rsid w:val="00361CF9"/>
    <w:rsid w:val="003B13FA"/>
    <w:rsid w:val="003D12E3"/>
    <w:rsid w:val="00416F8B"/>
    <w:rsid w:val="00421CB2"/>
    <w:rsid w:val="004550B9"/>
    <w:rsid w:val="00461AD8"/>
    <w:rsid w:val="00472C1E"/>
    <w:rsid w:val="004C2C81"/>
    <w:rsid w:val="004F659C"/>
    <w:rsid w:val="00502262"/>
    <w:rsid w:val="00511AA4"/>
    <w:rsid w:val="00521E13"/>
    <w:rsid w:val="0053429C"/>
    <w:rsid w:val="00547DE2"/>
    <w:rsid w:val="00573469"/>
    <w:rsid w:val="005A2CD3"/>
    <w:rsid w:val="005B25E6"/>
    <w:rsid w:val="005B791A"/>
    <w:rsid w:val="005D0DCA"/>
    <w:rsid w:val="005D7606"/>
    <w:rsid w:val="005E4786"/>
    <w:rsid w:val="006409E2"/>
    <w:rsid w:val="00683F69"/>
    <w:rsid w:val="006E484F"/>
    <w:rsid w:val="006E54D4"/>
    <w:rsid w:val="006F4149"/>
    <w:rsid w:val="007065D2"/>
    <w:rsid w:val="00742760"/>
    <w:rsid w:val="0075041A"/>
    <w:rsid w:val="00767E16"/>
    <w:rsid w:val="007865A3"/>
    <w:rsid w:val="00793D68"/>
    <w:rsid w:val="00794A0F"/>
    <w:rsid w:val="00794D1A"/>
    <w:rsid w:val="0079722F"/>
    <w:rsid w:val="007A162C"/>
    <w:rsid w:val="007A2586"/>
    <w:rsid w:val="007B284D"/>
    <w:rsid w:val="007D0528"/>
    <w:rsid w:val="007F6A44"/>
    <w:rsid w:val="00856F8B"/>
    <w:rsid w:val="008A0E1A"/>
    <w:rsid w:val="008A787D"/>
    <w:rsid w:val="008B2ECA"/>
    <w:rsid w:val="008E76FA"/>
    <w:rsid w:val="009322C1"/>
    <w:rsid w:val="00934281"/>
    <w:rsid w:val="00995B31"/>
    <w:rsid w:val="009A2907"/>
    <w:rsid w:val="00A04B90"/>
    <w:rsid w:val="00A241DA"/>
    <w:rsid w:val="00A6718F"/>
    <w:rsid w:val="00AB49A9"/>
    <w:rsid w:val="00AB4A53"/>
    <w:rsid w:val="00AC70FE"/>
    <w:rsid w:val="00AE255D"/>
    <w:rsid w:val="00B271F8"/>
    <w:rsid w:val="00B40920"/>
    <w:rsid w:val="00B412FD"/>
    <w:rsid w:val="00B665DA"/>
    <w:rsid w:val="00B83162"/>
    <w:rsid w:val="00BA3507"/>
    <w:rsid w:val="00BD35DF"/>
    <w:rsid w:val="00BE1DE4"/>
    <w:rsid w:val="00BE1E83"/>
    <w:rsid w:val="00C15A8A"/>
    <w:rsid w:val="00C73982"/>
    <w:rsid w:val="00C92601"/>
    <w:rsid w:val="00CA2249"/>
    <w:rsid w:val="00CA3687"/>
    <w:rsid w:val="00CC62F0"/>
    <w:rsid w:val="00CE0B17"/>
    <w:rsid w:val="00D40CBE"/>
    <w:rsid w:val="00D42FE6"/>
    <w:rsid w:val="00D85060"/>
    <w:rsid w:val="00D85541"/>
    <w:rsid w:val="00DB63FF"/>
    <w:rsid w:val="00DE598E"/>
    <w:rsid w:val="00DF0DFE"/>
    <w:rsid w:val="00E423B0"/>
    <w:rsid w:val="00E44B75"/>
    <w:rsid w:val="00E86665"/>
    <w:rsid w:val="00EE3ADA"/>
    <w:rsid w:val="00EF75BD"/>
    <w:rsid w:val="00F173F4"/>
    <w:rsid w:val="00F37332"/>
    <w:rsid w:val="00F37398"/>
    <w:rsid w:val="00F4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BE935"/>
  <w15:chartTrackingRefBased/>
  <w15:docId w15:val="{862A8D54-5840-4B55-A412-697493339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09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9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9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9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9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9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9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9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9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9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9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9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9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9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9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9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9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9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9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09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9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09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9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09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09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09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9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9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9F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28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28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5041A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E44B75"/>
  </w:style>
  <w:style w:type="paragraph" w:customStyle="1" w:styleId="font-claude-response-body">
    <w:name w:val="font-claude-response-body"/>
    <w:basedOn w:val="Normal"/>
    <w:rsid w:val="00E44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44B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digo.org/wp-content/uploads/2017/07/2017-KDIGO-LD-GL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ts.org.uk/wp-content/uploads/2018/07/FINAL_LDKT-guidelines_June-2018.pdf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97D6B675AF34D9FCBF20A3775A223" ma:contentTypeVersion="6" ma:contentTypeDescription="Create a new document." ma:contentTypeScope="" ma:versionID="5a693aa6329951e16434f279e8f5f15e">
  <xsd:schema xmlns:xsd="http://www.w3.org/2001/XMLSchema" xmlns:xs="http://www.w3.org/2001/XMLSchema" xmlns:p="http://schemas.microsoft.com/office/2006/metadata/properties" xmlns:ns2="585afff9-8319-4eb5-abf2-113748625117" xmlns:ns3="bf988a31-5909-44c6-a48e-b7c8f1d6bcaf" targetNamespace="http://schemas.microsoft.com/office/2006/metadata/properties" ma:root="true" ma:fieldsID="5c9e19704d391948ac252c03dea68179" ns2:_="" ns3:_="">
    <xsd:import namespace="585afff9-8319-4eb5-abf2-113748625117"/>
    <xsd:import namespace="bf988a31-5909-44c6-a48e-b7c8f1d6bc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afff9-8319-4eb5-abf2-1137486251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88a31-5909-44c6-a48e-b7c8f1d6bc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2A4999-AE70-4241-824B-23178CEDD2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F56F8E-F4B1-4DEF-A4D4-0F51833E0B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E51215-FE69-4139-83D2-1F051CB2C6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5afff9-8319-4eb5-abf2-113748625117"/>
    <ds:schemaRef ds:uri="bf988a31-5909-44c6-a48e-b7c8f1d6bc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 Mayes</dc:creator>
  <cp:keywords/>
  <dc:description/>
  <cp:lastModifiedBy>Conner Sweet</cp:lastModifiedBy>
  <cp:revision>4</cp:revision>
  <dcterms:created xsi:type="dcterms:W3CDTF">2026-02-12T16:48:00Z</dcterms:created>
  <dcterms:modified xsi:type="dcterms:W3CDTF">2026-02-13T14:52:00Z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0x0101004D097D6B675AF34D9FCBF20A3775A223</vt:lpwstr>
  </property>
</Properties>
</file>