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C79B7" w14:textId="77777777" w:rsidR="005D4564" w:rsidRDefault="005D4564" w:rsidP="005D4564">
      <w:pPr>
        <w:rPr>
          <w:b/>
        </w:rPr>
      </w:pPr>
      <w:r>
        <w:rPr>
          <w:b/>
        </w:rPr>
        <w:t>Postoperative n</w:t>
      </w:r>
      <w:r>
        <w:rPr>
          <w:b/>
        </w:rPr>
        <w:t>utrition</w:t>
      </w:r>
    </w:p>
    <w:p w14:paraId="5281FD6A" w14:textId="77777777" w:rsidR="005D4564" w:rsidRDefault="005D4564" w:rsidP="005D4564">
      <w:pPr>
        <w:rPr>
          <w:b/>
        </w:rPr>
      </w:pPr>
    </w:p>
    <w:p w14:paraId="7E226A00" w14:textId="66F10B45" w:rsidR="005D4564" w:rsidRPr="005D4564" w:rsidRDefault="005D4564" w:rsidP="005D4564">
      <w:pPr>
        <w:rPr>
          <w:bCs/>
        </w:rPr>
      </w:pPr>
      <w:r w:rsidRPr="005D4564">
        <w:rPr>
          <w:bCs/>
        </w:rPr>
        <w:t xml:space="preserve">There is </w:t>
      </w:r>
      <w:r>
        <w:rPr>
          <w:bCs/>
        </w:rPr>
        <w:t xml:space="preserve">strong </w:t>
      </w:r>
      <w:r w:rsidR="00297886">
        <w:rPr>
          <w:bCs/>
        </w:rPr>
        <w:t xml:space="preserve">expert </w:t>
      </w:r>
      <w:r>
        <w:rPr>
          <w:bCs/>
        </w:rPr>
        <w:t>consensus that normal food intake or enteral nutrition should be initiated within 12-24 hours of liver transplantation. This has been shown to reduce infective complications in liver transplant recipients. Energy requirements and protein requirements are increased in the early period following liver transplantation</w:t>
      </w:r>
      <w:r w:rsidR="00B804E2">
        <w:rPr>
          <w:bCs/>
        </w:rPr>
        <w:t xml:space="preserve"> with a markedly increased catabolic state. Non-protein energy requirement may vary depending on the recipient’s postoperative course, </w:t>
      </w:r>
      <w:r w:rsidR="009A6417">
        <w:rPr>
          <w:bCs/>
        </w:rPr>
        <w:t>supporting the need for monitoring and recording food and fluid intake.</w:t>
      </w:r>
    </w:p>
    <w:p w14:paraId="3B9E57C6" w14:textId="2119C41D" w:rsidR="00B16946" w:rsidRDefault="009A6417" w:rsidP="005D4564">
      <w:r>
        <w:t>Some recipients may not meet their nutritional requirements exclusively through regular meals and support with nutritional supplements or enteral feeding</w:t>
      </w:r>
      <w:r w:rsidR="00B16946">
        <w:t xml:space="preserve"> via nasogastric or </w:t>
      </w:r>
      <w:proofErr w:type="spellStart"/>
      <w:r w:rsidR="00B16946">
        <w:t>nasojejunal</w:t>
      </w:r>
      <w:proofErr w:type="spellEnd"/>
      <w:r w:rsidR="00B16946">
        <w:t xml:space="preserve"> tubes has strong </w:t>
      </w:r>
      <w:r w:rsidR="00297886">
        <w:t xml:space="preserve">expert </w:t>
      </w:r>
      <w:r w:rsidR="00B16946">
        <w:t>consensus support. There is no evidence specific to liver transplantation for dietetic review in patients not meeting nutritional requirements or identified as being high-risk on nutrition screening score</w:t>
      </w:r>
      <w:r w:rsidR="00397EAC">
        <w:t>, but this practice is supported by the clinical knowledge summary on management of malnutrition from the National Institute for Health and Care Excellence.</w:t>
      </w:r>
    </w:p>
    <w:p w14:paraId="33049018" w14:textId="77777777" w:rsidR="00397EAC" w:rsidRDefault="00397EAC" w:rsidP="005D4564"/>
    <w:p w14:paraId="21980E1C" w14:textId="77777777" w:rsidR="00397EAC" w:rsidRDefault="00397EAC" w:rsidP="00397EAC">
      <w:pPr>
        <w:rPr>
          <w:b/>
          <w:bCs/>
        </w:rPr>
      </w:pPr>
      <w:bookmarkStart w:id="0" w:name="OLE_LINK1"/>
      <w:r w:rsidRPr="207DC392">
        <w:rPr>
          <w:b/>
          <w:bCs/>
        </w:rPr>
        <w:t>Bibliography</w:t>
      </w:r>
    </w:p>
    <w:bookmarkEnd w:id="0"/>
    <w:p w14:paraId="6ACB9045" w14:textId="6B6ECCEE" w:rsidR="00397EAC" w:rsidRDefault="00397EAC" w:rsidP="00397EAC">
      <w:pPr>
        <w:numPr>
          <w:ilvl w:val="0"/>
          <w:numId w:val="1"/>
        </w:numPr>
        <w:rPr>
          <w:color w:val="000000" w:themeColor="text1"/>
          <w:lang w:val="en-US"/>
        </w:rPr>
      </w:pPr>
      <w:proofErr w:type="spellStart"/>
      <w:r>
        <w:rPr>
          <w:color w:val="000000" w:themeColor="text1"/>
          <w:lang w:val="en-US"/>
        </w:rPr>
        <w:t>Plauth</w:t>
      </w:r>
      <w:proofErr w:type="spellEnd"/>
      <w:r>
        <w:rPr>
          <w:color w:val="000000" w:themeColor="text1"/>
          <w:lang w:val="en-US"/>
        </w:rPr>
        <w:t xml:space="preserve"> M, Bernal W, </w:t>
      </w:r>
      <w:proofErr w:type="spellStart"/>
      <w:r>
        <w:rPr>
          <w:color w:val="000000" w:themeColor="text1"/>
          <w:lang w:val="en-US"/>
        </w:rPr>
        <w:t>Dasarathy</w:t>
      </w:r>
      <w:proofErr w:type="spellEnd"/>
      <w:r>
        <w:rPr>
          <w:color w:val="000000" w:themeColor="text1"/>
          <w:lang w:val="en-US"/>
        </w:rPr>
        <w:t xml:space="preserve"> S, Merli M, Plank LD, Schütz T, et al. </w:t>
      </w:r>
      <w:r w:rsidRPr="00397EAC">
        <w:rPr>
          <w:color w:val="000000" w:themeColor="text1"/>
          <w:lang w:val="en-US"/>
        </w:rPr>
        <w:t>ESPEN Guideline on Clinical Nutrition in Liver Disease</w:t>
      </w:r>
      <w:r>
        <w:rPr>
          <w:color w:val="000000" w:themeColor="text1"/>
          <w:lang w:val="en-US"/>
        </w:rPr>
        <w:t xml:space="preserve">. </w:t>
      </w:r>
      <w:r w:rsidRPr="00397EAC">
        <w:rPr>
          <w:color w:val="000000" w:themeColor="text1"/>
          <w:lang w:val="en-US"/>
        </w:rPr>
        <w:t xml:space="preserve">Clin </w:t>
      </w:r>
      <w:proofErr w:type="spellStart"/>
      <w:r w:rsidRPr="00397EAC">
        <w:rPr>
          <w:color w:val="000000" w:themeColor="text1"/>
          <w:lang w:val="en-US"/>
        </w:rPr>
        <w:t>Nutr</w:t>
      </w:r>
      <w:proofErr w:type="spellEnd"/>
      <w:r w:rsidRPr="00397EAC">
        <w:rPr>
          <w:color w:val="000000" w:themeColor="text1"/>
          <w:lang w:val="en-US"/>
        </w:rPr>
        <w:t>. 2019 Jan 16;38(2):485–521.</w:t>
      </w:r>
      <w:r>
        <w:rPr>
          <w:color w:val="000000" w:themeColor="text1"/>
          <w:lang w:val="en-US"/>
        </w:rPr>
        <w:t xml:space="preserve"> </w:t>
      </w:r>
      <w:proofErr w:type="spellStart"/>
      <w:r w:rsidRPr="00397EAC">
        <w:rPr>
          <w:color w:val="000000" w:themeColor="text1"/>
          <w:lang w:val="en-US"/>
        </w:rPr>
        <w:t>doi</w:t>
      </w:r>
      <w:proofErr w:type="spellEnd"/>
      <w:r w:rsidRPr="00397EAC">
        <w:rPr>
          <w:color w:val="000000" w:themeColor="text1"/>
          <w:lang w:val="en-US"/>
        </w:rPr>
        <w:t>: 10.1016/j.clnu.2018.12.022</w:t>
      </w:r>
    </w:p>
    <w:p w14:paraId="71E61B4A" w14:textId="56FAF727" w:rsidR="00397EAC" w:rsidRPr="00297886" w:rsidRDefault="00397EAC" w:rsidP="00297886">
      <w:pPr>
        <w:numPr>
          <w:ilvl w:val="0"/>
          <w:numId w:val="1"/>
        </w:numPr>
        <w:rPr>
          <w:color w:val="000000" w:themeColor="text1"/>
          <w:lang w:val="en-US"/>
        </w:rPr>
      </w:pPr>
      <w:r>
        <w:t>National Institute for Health and Care Excellence</w:t>
      </w:r>
      <w:r>
        <w:t xml:space="preserve">. </w:t>
      </w:r>
      <w:r w:rsidRPr="00397EAC">
        <w:t>Adult malnutrition</w:t>
      </w:r>
      <w:r w:rsidR="00297886">
        <w:t xml:space="preserve"> [Internet]</w:t>
      </w:r>
      <w:r>
        <w:t>. 2024 Feb</w:t>
      </w:r>
      <w:r w:rsidR="00297886">
        <w:t xml:space="preserve"> [cited 2025 Nov 7]</w:t>
      </w:r>
      <w:r>
        <w:t xml:space="preserve">. Available from: </w:t>
      </w:r>
      <w:hyperlink r:id="rId5" w:history="1">
        <w:r w:rsidRPr="00397EAC">
          <w:rPr>
            <w:rStyle w:val="Hyperlink"/>
            <w:color w:val="000000" w:themeColor="text1"/>
          </w:rPr>
          <w:t>https://cks.nice.org.uk/topics/adult-malnutrition/</w:t>
        </w:r>
      </w:hyperlink>
    </w:p>
    <w:sectPr w:rsidR="00397EAC" w:rsidRPr="002978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E0DEE"/>
    <w:multiLevelType w:val="multilevel"/>
    <w:tmpl w:val="20BADE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640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564"/>
    <w:rsid w:val="00297886"/>
    <w:rsid w:val="00397EAC"/>
    <w:rsid w:val="003B4072"/>
    <w:rsid w:val="004E244A"/>
    <w:rsid w:val="005D4564"/>
    <w:rsid w:val="0095596E"/>
    <w:rsid w:val="009A6417"/>
    <w:rsid w:val="00B16946"/>
    <w:rsid w:val="00B804E2"/>
    <w:rsid w:val="00CB52DF"/>
    <w:rsid w:val="00D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BF0F06"/>
  <w15:chartTrackingRefBased/>
  <w15:docId w15:val="{0E575F3E-B9C0-D143-BE5A-E154E29A6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564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45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5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5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5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5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5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5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5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5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5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5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5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5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5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5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5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5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5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5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5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56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5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5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5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5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5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5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5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56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7EA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E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ks.nice.org.uk/topics/adult-malnutritio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KANTSEDIKAS, Ilya (CHELSEA AND WESTMINSTER HOSPITAL NHS FOUNDATION TRUST)</dc:creator>
  <cp:keywords/>
  <dc:description/>
  <cp:lastModifiedBy>KANTSEDIKAS, Ilya (CHELSEA AND WESTMINSTER HOSPITAL NHS FOUNDATION TRUST)</cp:lastModifiedBy>
  <cp:revision>1</cp:revision>
  <dcterms:created xsi:type="dcterms:W3CDTF">2025-11-07T15:55:00Z</dcterms:created>
  <dcterms:modified xsi:type="dcterms:W3CDTF">2025-11-07T16:50:00Z</dcterms:modified>
</cp:coreProperties>
</file>