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578F0" w:rsidP="2FD090FB" w:rsidRDefault="007D5A95" w14:paraId="00000001" w14:textId="4C307338">
      <w:pPr>
        <w:rPr>
          <w:b w:val="1"/>
          <w:bCs w:val="1"/>
        </w:rPr>
      </w:pPr>
      <w:r w:rsidRPr="2FD090FB" w:rsidR="007D5A95">
        <w:rPr>
          <w:b w:val="1"/>
          <w:bCs w:val="1"/>
        </w:rPr>
        <w:t>Prehabilitation</w:t>
      </w:r>
      <w:r w:rsidRPr="2FD090FB" w:rsidR="767C2EE0">
        <w:rPr>
          <w:b w:val="1"/>
          <w:bCs w:val="1"/>
        </w:rPr>
        <w:t xml:space="preserve"> </w:t>
      </w:r>
    </w:p>
    <w:p w:rsidR="007578F0" w:rsidRDefault="007578F0" w14:paraId="00000002" w14:textId="77777777"/>
    <w:p w:rsidR="007578F0" w:rsidRDefault="007D5A95" w14:paraId="00000003" w14:textId="52F5BA7A">
      <w:r w:rsidRPr="03B697D5">
        <w:rPr>
          <w:lang w:val="en-US"/>
        </w:rPr>
        <w:t xml:space="preserve">Optimal patient preparation for liver transplant requires a multidisciplinary, multifaceted approach. Three key elements of prehabilitation - nutrition, fitness and psychological preparation - recommended as part of an Enhanced </w:t>
      </w:r>
      <w:r w:rsidRPr="03B697D5">
        <w:rPr>
          <w:lang w:val="en-US"/>
        </w:rPr>
        <w:t>Recovery After Surgery (ERAS) pathway for liver transplant recipients are widely considered to be beneficial, although the strength of evidence to support their impact on short</w:t>
      </w:r>
      <w:r w:rsidRPr="03B697D5" w:rsidR="00BA7676">
        <w:rPr>
          <w:lang w:val="en-US"/>
        </w:rPr>
        <w:t>-</w:t>
      </w:r>
      <w:r w:rsidRPr="03B697D5">
        <w:rPr>
          <w:lang w:val="en-US"/>
        </w:rPr>
        <w:t xml:space="preserve">term outcomes is variable. The European Society of Organ Transplantation has published consensus statements </w:t>
      </w:r>
      <w:r w:rsidRPr="03B697D5" w:rsidR="00BA7676">
        <w:rPr>
          <w:lang w:val="en-US"/>
        </w:rPr>
        <w:t>advocating</w:t>
      </w:r>
      <w:r w:rsidRPr="03B697D5">
        <w:rPr>
          <w:lang w:val="en-US"/>
        </w:rPr>
        <w:t xml:space="preserve"> for further high</w:t>
      </w:r>
      <w:r w:rsidRPr="03B697D5" w:rsidR="00BA7676">
        <w:rPr>
          <w:lang w:val="en-US"/>
        </w:rPr>
        <w:t>-</w:t>
      </w:r>
      <w:r w:rsidRPr="03B697D5">
        <w:rPr>
          <w:lang w:val="en-US"/>
        </w:rPr>
        <w:t xml:space="preserve">quality </w:t>
      </w:r>
      <w:r w:rsidRPr="03B697D5" w:rsidR="00BA7676">
        <w:rPr>
          <w:lang w:val="en-US"/>
        </w:rPr>
        <w:t>research into</w:t>
      </w:r>
      <w:r w:rsidRPr="03B697D5">
        <w:rPr>
          <w:lang w:val="en-US"/>
        </w:rPr>
        <w:t xml:space="preserve"> multimodal prehabilitation in solid organ recipients</w:t>
      </w:r>
      <w:r w:rsidRPr="03B697D5" w:rsidR="00BA7676">
        <w:rPr>
          <w:lang w:val="en-US"/>
        </w:rPr>
        <w:t>. M</w:t>
      </w:r>
      <w:r w:rsidRPr="03B697D5">
        <w:rPr>
          <w:lang w:val="en-US"/>
        </w:rPr>
        <w:t>ost</w:t>
      </w:r>
      <w:r w:rsidRPr="03B697D5" w:rsidR="00BA7676">
        <w:rPr>
          <w:lang w:val="en-US"/>
        </w:rPr>
        <w:t xml:space="preserve"> existing</w:t>
      </w:r>
      <w:r w:rsidRPr="03B697D5">
        <w:rPr>
          <w:lang w:val="en-US"/>
        </w:rPr>
        <w:t xml:space="preserve"> studies in this area </w:t>
      </w:r>
      <w:r w:rsidRPr="03B697D5" w:rsidR="00BA7676">
        <w:rPr>
          <w:lang w:val="en-US"/>
        </w:rPr>
        <w:t xml:space="preserve">have investigated </w:t>
      </w:r>
      <w:r w:rsidRPr="03B697D5">
        <w:rPr>
          <w:lang w:val="en-US"/>
        </w:rPr>
        <w:t xml:space="preserve">unimodal </w:t>
      </w:r>
      <w:r w:rsidRPr="03B697D5" w:rsidR="00BA7676">
        <w:rPr>
          <w:lang w:val="en-US"/>
        </w:rPr>
        <w:t xml:space="preserve">interventions </w:t>
      </w:r>
      <w:r w:rsidRPr="03B697D5">
        <w:rPr>
          <w:lang w:val="en-US"/>
        </w:rPr>
        <w:t>and do not consistently report on the same outc</w:t>
      </w:r>
      <w:r w:rsidRPr="03B697D5">
        <w:rPr>
          <w:lang w:val="en-US"/>
        </w:rPr>
        <w:t>ome measures</w:t>
      </w:r>
      <w:r w:rsidRPr="03B697D5" w:rsidR="00BA7676">
        <w:rPr>
          <w:lang w:val="en-US"/>
        </w:rPr>
        <w:t>, limiting generalisability</w:t>
      </w:r>
      <w:r w:rsidRPr="03B697D5">
        <w:rPr>
          <w:lang w:val="en-US"/>
        </w:rPr>
        <w:t xml:space="preserve">. </w:t>
      </w:r>
    </w:p>
    <w:p w:rsidR="007578F0" w:rsidRDefault="007578F0" w14:paraId="00000004" w14:textId="77777777"/>
    <w:p w:rsidR="007578F0" w:rsidP="03B697D5" w:rsidRDefault="007D5A95" w14:paraId="00000005" w14:textId="0CBDF4E9">
      <w:pPr>
        <w:rPr>
          <w:color w:val="131314"/>
          <w:highlight w:val="white"/>
          <w:lang w:val="en-US"/>
        </w:rPr>
      </w:pPr>
      <w:r w:rsidRPr="03B697D5">
        <w:rPr>
          <w:color w:val="131314"/>
          <w:highlight w:val="white"/>
          <w:lang w:val="en-US"/>
        </w:rPr>
        <w:t xml:space="preserve">Malnutrition, on a spectrum encompassing both undernutrition and obesity, is commonly seen in patients with cirrhosis awaiting liver transplant, and is associated with increased risks of infections, hospitalisation, and mortality. </w:t>
      </w:r>
      <w:r w:rsidRPr="03B697D5" w:rsidR="00BA7676">
        <w:rPr>
          <w:color w:val="131314"/>
          <w:highlight w:val="white"/>
          <w:lang w:val="en-US"/>
        </w:rPr>
        <w:t>Despite this, there is</w:t>
      </w:r>
      <w:r w:rsidRPr="03B697D5">
        <w:rPr>
          <w:color w:val="131314"/>
          <w:highlight w:val="white"/>
          <w:lang w:val="en-US"/>
        </w:rPr>
        <w:t xml:space="preserve"> a paucity of high</w:t>
      </w:r>
      <w:r w:rsidRPr="03B697D5" w:rsidR="00BA7676">
        <w:rPr>
          <w:color w:val="131314"/>
          <w:highlight w:val="white"/>
          <w:lang w:val="en-US"/>
        </w:rPr>
        <w:t>-</w:t>
      </w:r>
      <w:r w:rsidRPr="03B697D5">
        <w:rPr>
          <w:color w:val="131314"/>
          <w:highlight w:val="white"/>
          <w:lang w:val="en-US"/>
        </w:rPr>
        <w:t xml:space="preserve">quality </w:t>
      </w:r>
      <w:r w:rsidRPr="03B697D5" w:rsidR="00BA7676">
        <w:rPr>
          <w:color w:val="131314"/>
          <w:highlight w:val="white"/>
          <w:lang w:val="en-US"/>
        </w:rPr>
        <w:t>evidence</w:t>
      </w:r>
      <w:r w:rsidRPr="03B697D5">
        <w:rPr>
          <w:color w:val="131314"/>
          <w:highlight w:val="white"/>
          <w:lang w:val="en-US"/>
        </w:rPr>
        <w:t xml:space="preserve"> </w:t>
      </w:r>
      <w:r w:rsidRPr="03B697D5" w:rsidR="00BA7676">
        <w:rPr>
          <w:color w:val="131314"/>
          <w:highlight w:val="white"/>
          <w:lang w:val="en-US"/>
        </w:rPr>
        <w:t xml:space="preserve">to support specific nutritional interventions. </w:t>
      </w:r>
      <w:r w:rsidRPr="03B697D5">
        <w:rPr>
          <w:color w:val="131314"/>
          <w:highlight w:val="white"/>
          <w:lang w:val="en-US"/>
        </w:rPr>
        <w:t>The main benefits seen in some observational studies looking at surrogates of malnutrition, namely vitamin D and iron deficiency, were reduction in hospital and intensive care length of stay respectively, although this has not been reproduced in randomised control trials. A recommendation to conduct dietetic assessment and creation of an individualised nutrition plan is therefore recommended on the basis</w:t>
      </w:r>
      <w:r w:rsidRPr="03B697D5">
        <w:rPr>
          <w:color w:val="131314"/>
          <w:highlight w:val="white"/>
          <w:lang w:val="en-US"/>
        </w:rPr>
        <w:t xml:space="preserve"> of likely benefit with possible reduction in hospital length of stay, and a lack of harm identified from these interventions. </w:t>
      </w:r>
    </w:p>
    <w:p w:rsidR="007578F0" w:rsidRDefault="007578F0" w14:paraId="00000006" w14:textId="77777777">
      <w:pPr>
        <w:rPr>
          <w:color w:val="131314"/>
          <w:highlight w:val="white"/>
        </w:rPr>
      </w:pPr>
    </w:p>
    <w:p w:rsidR="007578F0" w:rsidP="03B697D5" w:rsidRDefault="007D5A95" w14:paraId="00000007" w14:textId="76D37C51">
      <w:pPr>
        <w:rPr>
          <w:color w:val="131314"/>
          <w:highlight w:val="white"/>
          <w:lang w:val="en-US"/>
        </w:rPr>
      </w:pPr>
      <w:r w:rsidRPr="2FD090FB" w:rsidR="007D5A95">
        <w:rPr>
          <w:color w:val="131314"/>
          <w:highlight w:val="white"/>
          <w:lang w:val="en-US"/>
        </w:rPr>
        <w:t>Sarcopenia,</w:t>
      </w:r>
      <w:r w:rsidRPr="2FD090FB" w:rsidR="007D5A95">
        <w:rPr>
          <w:color w:val="131314"/>
          <w:highlight w:val="white"/>
          <w:lang w:val="en-US"/>
        </w:rPr>
        <w:t xml:space="preserve"> </w:t>
      </w:r>
      <w:r w:rsidRPr="2FD090FB" w:rsidR="00BA7676">
        <w:rPr>
          <w:color w:val="131314"/>
          <w:highlight w:val="white"/>
          <w:lang w:val="en-US"/>
        </w:rPr>
        <w:t>reduced</w:t>
      </w:r>
      <w:r w:rsidRPr="2FD090FB" w:rsidR="007D5A95">
        <w:rPr>
          <w:color w:val="131314"/>
          <w:highlight w:val="white"/>
          <w:lang w:val="en-US"/>
        </w:rPr>
        <w:t xml:space="preserve"> functional status and frailty are high in patients awaiting liver transplant. </w:t>
      </w:r>
      <w:r w:rsidRPr="2FD090FB" w:rsidR="00BA7676">
        <w:rPr>
          <w:color w:val="131314"/>
          <w:highlight w:val="white"/>
          <w:lang w:val="en-US"/>
        </w:rPr>
        <w:t>Structured e</w:t>
      </w:r>
      <w:r w:rsidRPr="2FD090FB" w:rsidR="007D5A95">
        <w:rPr>
          <w:color w:val="131314"/>
          <w:highlight w:val="white"/>
          <w:lang w:val="en-US"/>
        </w:rPr>
        <w:t>xercise</w:t>
      </w:r>
      <w:r w:rsidRPr="2FD090FB" w:rsidR="00BA7676">
        <w:rPr>
          <w:color w:val="131314"/>
          <w:highlight w:val="white"/>
          <w:lang w:val="en-US"/>
        </w:rPr>
        <w:t xml:space="preserve"> </w:t>
      </w:r>
      <w:r w:rsidRPr="2FD090FB" w:rsidR="00BA7676">
        <w:rPr>
          <w:color w:val="131314"/>
          <w:highlight w:val="white"/>
          <w:lang w:val="en-US"/>
        </w:rPr>
        <w:t>programmes</w:t>
      </w:r>
      <w:r w:rsidRPr="2FD090FB" w:rsidR="007D5A95">
        <w:rPr>
          <w:color w:val="131314"/>
          <w:highlight w:val="white"/>
          <w:lang w:val="en-US"/>
        </w:rPr>
        <w:t xml:space="preserve"> in patients with chronic liver disease ha</w:t>
      </w:r>
      <w:r w:rsidRPr="2FD090FB" w:rsidR="00BA7676">
        <w:rPr>
          <w:color w:val="131314"/>
          <w:highlight w:val="white"/>
          <w:lang w:val="en-US"/>
        </w:rPr>
        <w:t xml:space="preserve">ve </w:t>
      </w:r>
      <w:r w:rsidRPr="2FD090FB" w:rsidR="007D5A95">
        <w:rPr>
          <w:color w:val="131314"/>
          <w:highlight w:val="white"/>
          <w:lang w:val="en-US"/>
        </w:rPr>
        <w:t>been shown to be safe and result</w:t>
      </w:r>
      <w:r w:rsidRPr="2FD090FB" w:rsidR="00BA7676">
        <w:rPr>
          <w:color w:val="131314"/>
          <w:highlight w:val="white"/>
          <w:lang w:val="en-US"/>
        </w:rPr>
        <w:t xml:space="preserve"> </w:t>
      </w:r>
      <w:r w:rsidRPr="2FD090FB" w:rsidR="007D5A95">
        <w:rPr>
          <w:color w:val="131314"/>
          <w:highlight w:val="white"/>
          <w:lang w:val="en-US"/>
        </w:rPr>
        <w:t xml:space="preserve">in </w:t>
      </w:r>
      <w:r w:rsidRPr="2FD090FB" w:rsidR="00BA7676">
        <w:rPr>
          <w:color w:val="131314"/>
          <w:highlight w:val="white"/>
          <w:lang w:val="en-US"/>
        </w:rPr>
        <w:t xml:space="preserve">measurable </w:t>
      </w:r>
      <w:r w:rsidRPr="2FD090FB" w:rsidR="007D5A95">
        <w:rPr>
          <w:color w:val="131314"/>
          <w:highlight w:val="white"/>
          <w:lang w:val="en-US"/>
        </w:rPr>
        <w:t xml:space="preserve">improvements in </w:t>
      </w:r>
      <w:r w:rsidRPr="2FD090FB" w:rsidR="00BA7676">
        <w:rPr>
          <w:color w:val="131314"/>
          <w:highlight w:val="white"/>
          <w:lang w:val="en-US"/>
        </w:rPr>
        <w:t xml:space="preserve">aerobic </w:t>
      </w:r>
      <w:r w:rsidRPr="2FD090FB" w:rsidR="00BA7676">
        <w:rPr>
          <w:color w:val="131314"/>
          <w:highlight w:val="white"/>
          <w:lang w:val="en-US"/>
        </w:rPr>
        <w:t>capacity</w:t>
      </w:r>
      <w:r w:rsidRPr="2FD090FB" w:rsidR="00BA7676">
        <w:rPr>
          <w:color w:val="131314"/>
          <w:highlight w:val="white"/>
          <w:lang w:val="en-US"/>
        </w:rPr>
        <w:t xml:space="preserve"> and muscle mass</w:t>
      </w:r>
      <w:r w:rsidRPr="2FD090FB" w:rsidR="007D5A95">
        <w:rPr>
          <w:color w:val="131314"/>
          <w:highlight w:val="white"/>
          <w:lang w:val="en-US"/>
        </w:rPr>
        <w:t xml:space="preserve">. </w:t>
      </w:r>
      <w:r w:rsidRPr="2FD090FB" w:rsidR="00BA7676">
        <w:rPr>
          <w:color w:val="131314"/>
          <w:highlight w:val="white"/>
          <w:lang w:val="en-US"/>
        </w:rPr>
        <w:t xml:space="preserve">However, most studies have only measured preoperative physiological endpoints, </w:t>
      </w:r>
      <w:r w:rsidRPr="2FD090FB" w:rsidR="007D5A95">
        <w:rPr>
          <w:color w:val="131314"/>
          <w:highlight w:val="white"/>
          <w:lang w:val="en-US"/>
        </w:rPr>
        <w:t xml:space="preserve">with a lack of data for </w:t>
      </w:r>
      <w:r w:rsidRPr="2FD090FB" w:rsidR="00BA7676">
        <w:rPr>
          <w:color w:val="131314"/>
          <w:highlight w:val="white"/>
          <w:lang w:val="en-US"/>
        </w:rPr>
        <w:t xml:space="preserve">postoperative </w:t>
      </w:r>
      <w:r w:rsidRPr="2FD090FB" w:rsidR="007D5A95">
        <w:rPr>
          <w:color w:val="131314"/>
          <w:highlight w:val="white"/>
          <w:lang w:val="en-US"/>
        </w:rPr>
        <w:t xml:space="preserve">outcomes such as morbidity, </w:t>
      </w:r>
      <w:r w:rsidRPr="2FD090FB" w:rsidR="007D5A95">
        <w:rPr>
          <w:color w:val="131314"/>
          <w:highlight w:val="white"/>
          <w:lang w:val="en-US"/>
        </w:rPr>
        <w:t>mortality</w:t>
      </w:r>
      <w:r w:rsidRPr="2FD090FB" w:rsidR="007D5A95">
        <w:rPr>
          <w:color w:val="131314"/>
          <w:highlight w:val="white"/>
          <w:lang w:val="en-US"/>
        </w:rPr>
        <w:t xml:space="preserve"> and hospital length of stay following transplant. </w:t>
      </w:r>
      <w:r w:rsidRPr="2FD090FB" w:rsidR="00BA7676">
        <w:rPr>
          <w:color w:val="131314"/>
          <w:highlight w:val="white"/>
          <w:lang w:val="en-US"/>
        </w:rPr>
        <w:t>On the basis of</w:t>
      </w:r>
      <w:r w:rsidRPr="2FD090FB" w:rsidR="00BA7676">
        <w:rPr>
          <w:color w:val="131314"/>
          <w:highlight w:val="white"/>
          <w:lang w:val="en-US"/>
        </w:rPr>
        <w:t xml:space="preserve"> reported improvements in physiological function, as well as a good safety profile, targeted exercise as part of an ERAS prehabilitation strategy is recommended. </w:t>
      </w:r>
    </w:p>
    <w:p w:rsidR="007578F0" w:rsidRDefault="007578F0" w14:paraId="00000008" w14:textId="77777777">
      <w:pPr>
        <w:rPr>
          <w:color w:val="131314"/>
          <w:highlight w:val="white"/>
        </w:rPr>
      </w:pPr>
    </w:p>
    <w:p w:rsidR="007578F0" w:rsidP="03B697D5" w:rsidRDefault="007D5A95" w14:paraId="00000009" w14:textId="5F01D483">
      <w:pPr>
        <w:rPr>
          <w:color w:val="131314"/>
          <w:highlight w:val="white"/>
          <w:lang w:val="en-US"/>
        </w:rPr>
      </w:pPr>
      <w:r w:rsidRPr="2FD090FB" w:rsidR="007D5A95">
        <w:rPr>
          <w:color w:val="131314"/>
          <w:highlight w:val="white"/>
          <w:lang w:val="en-US"/>
        </w:rPr>
        <w:t xml:space="preserve">Psychosocial issues such as depression and anxiety are common in patients awaiting liver transplant, and psychological screening scores have been found to predict post-transplant outcomes. </w:t>
      </w:r>
      <w:r w:rsidRPr="2FD090FB" w:rsidR="6B4E1516">
        <w:rPr>
          <w:color w:val="131314"/>
          <w:highlight w:val="white"/>
          <w:lang w:val="en-US"/>
        </w:rPr>
        <w:t>A h</w:t>
      </w:r>
      <w:r w:rsidRPr="2FD090FB" w:rsidR="007D5A95">
        <w:rPr>
          <w:color w:val="131314"/>
          <w:highlight w:val="white"/>
          <w:lang w:val="en-US"/>
        </w:rPr>
        <w:t xml:space="preserve">istory of substance misuse disorder is also a common challenge in this cohort. Both psychosocial intervention and support from specialist drug and alcohol teams have beneficial effects on post-transplant outcomes, improving treatment concordance and rates of rejection and lowering the risk of relapse to alcohol </w:t>
      </w:r>
      <w:r w:rsidRPr="2FD090FB" w:rsidR="007D5A95">
        <w:rPr>
          <w:color w:val="131314"/>
          <w:highlight w:val="white"/>
          <w:lang w:val="en-US"/>
        </w:rPr>
        <w:t>post tran</w:t>
      </w:r>
      <w:r w:rsidRPr="2FD090FB" w:rsidR="007D5A95">
        <w:rPr>
          <w:color w:val="131314"/>
          <w:highlight w:val="white"/>
          <w:lang w:val="en-US"/>
        </w:rPr>
        <w:t>splant</w:t>
      </w:r>
      <w:r w:rsidRPr="2FD090FB" w:rsidR="007D5A95">
        <w:rPr>
          <w:color w:val="131314"/>
          <w:highlight w:val="white"/>
          <w:lang w:val="en-US"/>
        </w:rPr>
        <w:t xml:space="preserve">. Holistic assessment and screening of patients </w:t>
      </w:r>
      <w:r w:rsidRPr="2FD090FB" w:rsidR="007D5A95">
        <w:rPr>
          <w:color w:val="131314"/>
          <w:highlight w:val="white"/>
          <w:lang w:val="en-US"/>
        </w:rPr>
        <w:t>with regard to</w:t>
      </w:r>
      <w:r w:rsidRPr="2FD090FB" w:rsidR="007D5A95">
        <w:rPr>
          <w:color w:val="131314"/>
          <w:highlight w:val="white"/>
          <w:lang w:val="en-US"/>
        </w:rPr>
        <w:t xml:space="preserve"> mental health, substance misuse and social support is therefore recommended to </w:t>
      </w:r>
      <w:r w:rsidRPr="2FD090FB" w:rsidR="007D5A95">
        <w:rPr>
          <w:color w:val="131314"/>
          <w:highlight w:val="white"/>
          <w:lang w:val="en-US"/>
        </w:rPr>
        <w:t>identify</w:t>
      </w:r>
      <w:r w:rsidRPr="2FD090FB" w:rsidR="007D5A95">
        <w:rPr>
          <w:color w:val="131314"/>
          <w:highlight w:val="white"/>
          <w:lang w:val="en-US"/>
        </w:rPr>
        <w:t xml:space="preserve"> those at risk of poorer outcomes post-transplant and provide </w:t>
      </w:r>
      <w:r w:rsidRPr="2FD090FB" w:rsidR="007D5A95">
        <w:rPr>
          <w:color w:val="131314"/>
          <w:highlight w:val="white"/>
          <w:lang w:val="en-US"/>
        </w:rPr>
        <w:t>appropriate support</w:t>
      </w:r>
      <w:r w:rsidRPr="2FD090FB" w:rsidR="007D5A95">
        <w:rPr>
          <w:color w:val="131314"/>
          <w:highlight w:val="white"/>
          <w:lang w:val="en-US"/>
        </w:rPr>
        <w:t xml:space="preserve">. </w:t>
      </w:r>
    </w:p>
    <w:p w:rsidR="007578F0" w:rsidRDefault="007578F0" w14:paraId="0000000A" w14:textId="77777777">
      <w:pPr>
        <w:rPr>
          <w:color w:val="131314"/>
          <w:highlight w:val="white"/>
        </w:rPr>
      </w:pPr>
    </w:p>
    <w:p w:rsidR="007578F0" w:rsidRDefault="007578F0" w14:paraId="0000000B" w14:textId="77777777">
      <w:pPr>
        <w:rPr>
          <w:color w:val="131314"/>
          <w:highlight w:val="white"/>
        </w:rPr>
      </w:pPr>
    </w:p>
    <w:p w:rsidR="6A8A7687" w:rsidP="23C9F59F" w:rsidRDefault="6A8A7687" w14:paraId="142A0DF4" w14:textId="4D751140">
      <w:pPr>
        <w:pStyle w:val="Normal"/>
        <w:suppressLineNumbers w:val="0"/>
        <w:bidi w:val="0"/>
        <w:spacing w:before="0" w:beforeAutospacing="off" w:after="0" w:afterAutospacing="off" w:line="276" w:lineRule="auto"/>
        <w:ind w:left="0" w:right="0"/>
        <w:jc w:val="left"/>
      </w:pPr>
      <w:r w:rsidRPr="23C9F59F" w:rsidR="6A8A7687">
        <w:rPr>
          <w:b w:val="1"/>
          <w:bCs w:val="1"/>
          <w:color w:val="131314"/>
          <w:highlight w:val="white"/>
        </w:rPr>
        <w:t>Bibliography</w:t>
      </w:r>
    </w:p>
    <w:p w:rsidR="007578F0" w:rsidRDefault="007578F0" w14:paraId="00000010" w14:textId="77777777">
      <w:pPr>
        <w:rPr>
          <w:color w:val="131314"/>
          <w:highlight w:val="white"/>
        </w:rPr>
      </w:pPr>
    </w:p>
    <w:p w:rsidR="718C1450" w:rsidP="2FD090FB" w:rsidRDefault="718C1450" w14:paraId="63EC2086" w14:textId="38014193">
      <w:pPr>
        <w:numPr>
          <w:ilvl w:val="0"/>
          <w:numId w:val="1"/>
        </w:numPr>
        <w:rPr>
          <w:sz w:val="22"/>
          <w:szCs w:val="22"/>
        </w:rPr>
      </w:pP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Annema C, De Smet S, Castle EM, 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>Overloop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 Y, 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>Klaase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 JM, 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>Janaudis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-Ferreira T, et al. European Society of Organ Transplantation (ESOT) Consensus Statement on Prehabilitation for Solid Organ Transplantation Candidates. 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>Transpl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 Int [Internet]. 2023 July 21 [cited 2025 Aug 15];36. Available from: </w:t>
      </w:r>
      <w:hyperlink r:id="R4b74163d238745f7">
        <w:r w:rsidRPr="2FD090FB" w:rsidR="718C1450">
          <w:rPr>
            <w:rStyle w:val="Hyperlink"/>
            <w:rFonts w:ascii="Arial" w:hAnsi="Arial" w:eastAsia="Arial" w:cs="Arial"/>
            <w:noProof w:val="0"/>
            <w:color w:val="000000" w:themeColor="text1" w:themeTint="FF" w:themeShade="FF"/>
            <w:sz w:val="22"/>
            <w:szCs w:val="22"/>
            <w:lang w:val="en-US"/>
          </w:rPr>
          <w:t>https://www.frontierspartnerships.org/articles/10.3389/ti.2023.11564/full</w:t>
        </w:r>
      </w:hyperlink>
    </w:p>
    <w:p w:rsidR="718C1450" w:rsidP="2FD090FB" w:rsidRDefault="718C1450" w14:paraId="453C48E3" w14:textId="7DAE2C50">
      <w:pPr>
        <w:numPr>
          <w:ilvl w:val="0"/>
          <w:numId w:val="1"/>
        </w:numPr>
        <w:rPr>
          <w:sz w:val="22"/>
          <w:szCs w:val="22"/>
        </w:rPr>
      </w:pP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Vinaixa C, Martínez Palli G, Milliken D, Sellers D, 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>Dharancy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 S, Spiro M, et al. The role of prehabilitation on short‐term outcomes after liver transplantation: A review of the literature and expert panel recommendations. Clinical Transplantation [Internet]. 2022 Oct [cited 2025 Aug 15];36(10). Available from: </w:t>
      </w:r>
      <w:hyperlink r:id="Rf86eb57f5c1c4a9b">
        <w:r w:rsidRPr="2FD090FB" w:rsidR="718C1450">
          <w:rPr>
            <w:rStyle w:val="Hyperlink"/>
            <w:rFonts w:ascii="Arial" w:hAnsi="Arial" w:eastAsia="Arial" w:cs="Arial"/>
            <w:noProof w:val="0"/>
            <w:color w:val="000000" w:themeColor="text1" w:themeTint="FF" w:themeShade="FF"/>
            <w:sz w:val="22"/>
            <w:szCs w:val="22"/>
            <w:lang w:val="en-US"/>
          </w:rPr>
          <w:t>https://onlinelibrary.wiley.com/doi/10.1111/ctr.14686</w:t>
        </w:r>
      </w:hyperlink>
    </w:p>
    <w:p w:rsidR="718C1450" w:rsidP="2FD090FB" w:rsidRDefault="718C1450" w14:paraId="61C7DBE0" w14:textId="67E0E9A9">
      <w:pPr>
        <w:numPr>
          <w:ilvl w:val="0"/>
          <w:numId w:val="1"/>
        </w:numPr>
        <w:rPr>
          <w:sz w:val="22"/>
          <w:szCs w:val="22"/>
        </w:rPr>
      </w:pP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Victor DW, 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>Zanetto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 A, Montano‐Loza AJ, Heimbach JK, Towey J, Spiro M, et al. The role of preoperative optimization of the nutritional status on the improvement of short‐term outcomes after liver transplantation? A review of the literature and expert panel recommendations. Clinical Transplantation [Internet]. 2022 Oct [cited 2025 Aug 15];36(10). Available from: </w:t>
      </w:r>
      <w:hyperlink r:id="Rdfb17c8c98e04a22">
        <w:r w:rsidRPr="2FD090FB" w:rsidR="718C1450">
          <w:rPr>
            <w:rStyle w:val="Hyperlink"/>
            <w:rFonts w:ascii="Arial" w:hAnsi="Arial" w:eastAsia="Arial" w:cs="Arial"/>
            <w:noProof w:val="0"/>
            <w:color w:val="000000" w:themeColor="text1" w:themeTint="FF" w:themeShade="FF"/>
            <w:sz w:val="22"/>
            <w:szCs w:val="22"/>
            <w:lang w:val="en-US"/>
          </w:rPr>
          <w:t>https://onlinelibrary.wiley.com/doi/10.1111/ctr.14647</w:t>
        </w:r>
      </w:hyperlink>
    </w:p>
    <w:p w:rsidR="718C1450" w:rsidP="2FD090FB" w:rsidRDefault="718C1450" w14:paraId="3C96D82B" w14:textId="159087DC">
      <w:pPr>
        <w:numPr>
          <w:ilvl w:val="0"/>
          <w:numId w:val="1"/>
        </w:numPr>
        <w:rPr>
          <w:sz w:val="22"/>
          <w:szCs w:val="22"/>
        </w:rPr>
      </w:pP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Weiss E, 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>Kabacam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 G, 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>Gorvin</w:t>
      </w:r>
      <w:r w:rsidRPr="2FD090FB" w:rsidR="718C1450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en-US"/>
        </w:rPr>
        <w:t xml:space="preserve"> L, Spiro M, Raptis DA, Keskin O, et al. The role of preoperative psychosocial counselling on the improvement of the recipient compliance and speed of recovery after liver transplantation – A systematic review of the literature and expert panel recommendations. Clinical Transplantation [Internet]. 2022 Oct [cited 2025 Aug 15];36(10). Available from: </w:t>
      </w:r>
      <w:hyperlink r:id="R68a5d4b748f447e6">
        <w:r w:rsidRPr="2FD090FB" w:rsidR="718C1450">
          <w:rPr>
            <w:rStyle w:val="Hyperlink"/>
            <w:rFonts w:ascii="Arial" w:hAnsi="Arial" w:eastAsia="Arial" w:cs="Arial"/>
            <w:noProof w:val="0"/>
            <w:color w:val="000000" w:themeColor="text1" w:themeTint="FF" w:themeShade="FF"/>
            <w:sz w:val="22"/>
            <w:szCs w:val="22"/>
            <w:lang w:val="en-US"/>
          </w:rPr>
          <w:t>https://onlinelibrary.wiley.com/doi/10.1111/ctr.14632</w:t>
        </w:r>
      </w:hyperlink>
    </w:p>
    <w:p w:rsidR="007578F0" w:rsidRDefault="007578F0" w14:paraId="00000015" w14:textId="77777777">
      <w:pPr>
        <w:rPr>
          <w:color w:val="131314"/>
          <w:highlight w:val="white"/>
        </w:rPr>
      </w:pPr>
    </w:p>
    <w:p w:rsidR="007578F0" w:rsidRDefault="007578F0" w14:paraId="00000016" w14:textId="77777777">
      <w:pPr>
        <w:rPr>
          <w:color w:val="131314"/>
          <w:highlight w:val="white"/>
        </w:rPr>
      </w:pPr>
    </w:p>
    <w:sectPr w:rsidR="007578F0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7">
    <w:nsid w:val="2bdda6e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69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1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3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5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57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29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1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3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50" w:hanging="180"/>
      </w:pPr>
    </w:lvl>
  </w:abstractNum>
  <w:abstractNum xmlns:w="http://schemas.openxmlformats.org/wordprocessingml/2006/main" w:abstractNumId="6">
    <w:nsid w:val="18c5398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6ef6f92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69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1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3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5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57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29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1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3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50" w:hanging="180"/>
      </w:pPr>
    </w:lvl>
  </w:abstractNum>
  <w:abstractNum xmlns:w="http://schemas.openxmlformats.org/wordprocessingml/2006/main" w:abstractNumId="4">
    <w:nsid w:val="7e2a5de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c70919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69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1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3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5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57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29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1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3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50" w:hanging="180"/>
      </w:pPr>
    </w:lvl>
  </w:abstractNum>
  <w:abstractNum xmlns:w="http://schemas.openxmlformats.org/wordprocessingml/2006/main" w:abstractNumId="2">
    <w:nsid w:val="27811cf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931696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69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1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3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5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57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29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1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3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50" w:hanging="180"/>
      </w:pPr>
    </w:lvl>
  </w:abstractNum>
  <w:abstractNum w:abstractNumId="0" w15:restartNumberingAfterBreak="0">
    <w:nsid w:val="760573B8"/>
    <w:multiLevelType w:val="multilevel"/>
    <w:tmpl w:val="309C3A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2036425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8F0"/>
    <w:rsid w:val="001750DE"/>
    <w:rsid w:val="0072063F"/>
    <w:rsid w:val="007553D1"/>
    <w:rsid w:val="007578F0"/>
    <w:rsid w:val="007D5A95"/>
    <w:rsid w:val="00BA7676"/>
    <w:rsid w:val="03B697D5"/>
    <w:rsid w:val="1F115446"/>
    <w:rsid w:val="23C9F59F"/>
    <w:rsid w:val="2FD090FB"/>
    <w:rsid w:val="4B12402B"/>
    <w:rsid w:val="556D8AF2"/>
    <w:rsid w:val="6A8A7687"/>
    <w:rsid w:val="6B4E1516"/>
    <w:rsid w:val="718C1450"/>
    <w:rsid w:val="767C2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B2C16F"/>
  <w15:docId w15:val="{AFCE79C2-0B8A-3F43-890A-FF7EEF7B1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0" w:customStyle="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uiPriority w:val="34"/>
    <w:name w:val="List Paragraph"/>
    <w:basedOn w:val="Normal"/>
    <w:qFormat/>
    <w:rsid w:val="2FD090FB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2FD090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Relationship Type="http://schemas.openxmlformats.org/officeDocument/2006/relationships/hyperlink" Target="https://www.frontierspartnerships.org/articles/10.3389/ti.2023.11564/full" TargetMode="External" Id="R4b74163d238745f7" /><Relationship Type="http://schemas.openxmlformats.org/officeDocument/2006/relationships/hyperlink" Target="https://onlinelibrary.wiley.com/doi/10.1111/ctr.14686" TargetMode="External" Id="Rf86eb57f5c1c4a9b" /><Relationship Type="http://schemas.openxmlformats.org/officeDocument/2006/relationships/hyperlink" Target="https://onlinelibrary.wiley.com/doi/10.1111/ctr.14647" TargetMode="External" Id="Rdfb17c8c98e04a22" /><Relationship Type="http://schemas.openxmlformats.org/officeDocument/2006/relationships/hyperlink" Target="https://onlinelibrary.wiley.com/doi/10.1111/ctr.14632" TargetMode="External" Id="R68a5d4b748f447e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97D6B675AF34D9FCBF20A3775A223" ma:contentTypeVersion="6" ma:contentTypeDescription="Create a new document." ma:contentTypeScope="" ma:versionID="38995a063970a75c27e08392df1f2be8">
  <xsd:schema xmlns:xsd="http://www.w3.org/2001/XMLSchema" xmlns:xs="http://www.w3.org/2001/XMLSchema" xmlns:p="http://schemas.microsoft.com/office/2006/metadata/properties" xmlns:ns2="585afff9-8319-4eb5-abf2-113748625117" xmlns:ns3="bf988a31-5909-44c6-a48e-b7c8f1d6bcaf" targetNamespace="http://schemas.microsoft.com/office/2006/metadata/properties" ma:root="true" ma:fieldsID="74a8e18255f930e55b9dd0c99f06b96a" ns2:_="" ns3:_="">
    <xsd:import namespace="585afff9-8319-4eb5-abf2-113748625117"/>
    <xsd:import namespace="bf988a31-5909-44c6-a48e-b7c8f1d6bc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5afff9-8319-4eb5-abf2-1137486251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988a31-5909-44c6-a48e-b7c8f1d6bca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3C0B104-4863-4BAA-910A-F0ECC9C77C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5DDF71-1EC5-4205-A9AF-5AAF7774DE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5afff9-8319-4eb5-abf2-113748625117"/>
    <ds:schemaRef ds:uri="bf988a31-5909-44c6-a48e-b7c8f1d6bc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FE7286-FD23-48FA-9B39-497E0CE2126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WELLS, Gemma (LONDON NORTH WEST UNIVERSITY HEALTHCARE NHS TRUST)</lastModifiedBy>
  <revision>6</revision>
  <dcterms:created xsi:type="dcterms:W3CDTF">2025-08-15T10:38:00.0000000Z</dcterms:created>
  <dcterms:modified xsi:type="dcterms:W3CDTF">2025-08-15T11:01:58.8855965Z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0x0101004D097D6B675AF34D9FCBF20A3775A223</vt:lpwstr>
  </property>
</Properties>
</file>