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D040D" w:rsidRDefault="000C7917" w14:paraId="00000001" w14:textId="77777777">
      <w:pPr>
        <w:spacing w:after="220" w:line="324" w:lineRule="auto"/>
        <w:rPr>
          <w:b/>
        </w:rPr>
      </w:pPr>
      <w:r>
        <w:rPr>
          <w:b/>
        </w:rPr>
        <w:t xml:space="preserve">Surgical considerations </w:t>
      </w:r>
    </w:p>
    <w:p w:rsidR="007D040D" w:rsidRDefault="000C7917" w14:paraId="00000002" w14:textId="3BDC915C">
      <w:pPr>
        <w:spacing w:after="220" w:line="324" w:lineRule="auto"/>
      </w:pPr>
      <w:r w:rsidRPr="3083DA05" w:rsidR="000C7917">
        <w:rPr>
          <w:lang w:val="en-US"/>
        </w:rPr>
        <w:t>There are multiple surgical factors which may contribute to improved recovery time following liver transplantation. Reduction in operation length, blood loss and fewer complications with vascular and biliary anastomoses are likely to result in swifter recovery for patients. There is a paucity of high</w:t>
      </w:r>
      <w:r w:rsidRPr="3083DA05" w:rsidR="031A5428">
        <w:rPr>
          <w:lang w:val="en-US"/>
        </w:rPr>
        <w:t>-</w:t>
      </w:r>
      <w:r w:rsidRPr="3083DA05" w:rsidR="000C7917">
        <w:rPr>
          <w:lang w:val="en-US"/>
        </w:rPr>
        <w:t xml:space="preserve">quality evidence to mandate a specific approach in liver transplantation </w:t>
      </w:r>
      <w:r w:rsidRPr="3083DA05" w:rsidR="11F5E6B5">
        <w:rPr>
          <w:lang w:val="en-US"/>
        </w:rPr>
        <w:t xml:space="preserve">regarding </w:t>
      </w:r>
      <w:r w:rsidRPr="3083DA05" w:rsidR="000C7917">
        <w:rPr>
          <w:lang w:val="en-US"/>
        </w:rPr>
        <w:t>caval anastomotic technique, and hence we have made no specific recommendations as to which should be preferred. As per a sy</w:t>
      </w:r>
      <w:r w:rsidRPr="3083DA05" w:rsidR="000C7917">
        <w:rPr>
          <w:lang w:val="en-US"/>
        </w:rPr>
        <w:t xml:space="preserve">stematic review, there is also no high-quality evidence to support the routine use of temporary portocaval shunt or </w:t>
      </w:r>
      <w:r w:rsidRPr="3083DA05" w:rsidR="000C7917">
        <w:rPr>
          <w:lang w:val="en-US"/>
        </w:rPr>
        <w:t>veno</w:t>
      </w:r>
      <w:r w:rsidRPr="3083DA05" w:rsidR="000C7917">
        <w:rPr>
          <w:lang w:val="en-US"/>
        </w:rPr>
        <w:t xml:space="preserve">-venous bypass, but these may be used if thought to be </w:t>
      </w:r>
      <w:r w:rsidRPr="3083DA05" w:rsidR="000C7917">
        <w:rPr>
          <w:lang w:val="en-US"/>
        </w:rPr>
        <w:t>indicated</w:t>
      </w:r>
      <w:r w:rsidRPr="3083DA05" w:rsidR="000C7917">
        <w:rPr>
          <w:lang w:val="en-US"/>
        </w:rPr>
        <w:t xml:space="preserve"> by the operating team in individual circumstances. </w:t>
      </w:r>
    </w:p>
    <w:p w:rsidR="007D040D" w:rsidRDefault="000C7917" w14:paraId="00000003" w14:textId="6C72737D">
      <w:pPr>
        <w:spacing w:after="220" w:line="324" w:lineRule="auto"/>
      </w:pPr>
      <w:r w:rsidRPr="3083DA05" w:rsidR="000C7917">
        <w:rPr>
          <w:lang w:val="en-US"/>
        </w:rPr>
        <w:t xml:space="preserve">A separate systematic review also recommended that T-tubes should not routinely be used, due to the risk of biliary leakage and infection. We have not made any recommendations </w:t>
      </w:r>
      <w:r w:rsidRPr="3083DA05" w:rsidR="000C7917">
        <w:rPr>
          <w:lang w:val="en-US"/>
        </w:rPr>
        <w:t>regarding</w:t>
      </w:r>
      <w:r w:rsidRPr="3083DA05" w:rsidR="000C7917">
        <w:rPr>
          <w:lang w:val="en-US"/>
        </w:rPr>
        <w:t xml:space="preserve"> the use of T-tubes, as feedback from UK </w:t>
      </w:r>
      <w:r w:rsidRPr="3083DA05" w:rsidR="000C7917">
        <w:rPr>
          <w:lang w:val="en-US"/>
        </w:rPr>
        <w:t>centres</w:t>
      </w:r>
      <w:r w:rsidRPr="3083DA05" w:rsidR="000C7917">
        <w:rPr>
          <w:lang w:val="en-US"/>
        </w:rPr>
        <w:t xml:space="preserve"> </w:t>
      </w:r>
      <w:r w:rsidRPr="3083DA05" w:rsidR="000C7917">
        <w:rPr>
          <w:lang w:val="en-US"/>
        </w:rPr>
        <w:t>indicates</w:t>
      </w:r>
      <w:r w:rsidRPr="3083DA05" w:rsidR="000C7917">
        <w:rPr>
          <w:lang w:val="en-US"/>
        </w:rPr>
        <w:t xml:space="preserve"> that their routine use is already not standard practice. Finally, the systematic review found no </w:t>
      </w:r>
      <w:r w:rsidRPr="3083DA05" w:rsidR="000C7917">
        <w:rPr>
          <w:lang w:val="en-US"/>
        </w:rPr>
        <w:t>high</w:t>
      </w:r>
      <w:r w:rsidRPr="3083DA05" w:rsidR="6AFCC384">
        <w:rPr>
          <w:lang w:val="en-US"/>
        </w:rPr>
        <w:t>-</w:t>
      </w:r>
      <w:r w:rsidRPr="3083DA05" w:rsidR="000C7917">
        <w:rPr>
          <w:lang w:val="en-US"/>
        </w:rPr>
        <w:t>quality</w:t>
      </w:r>
      <w:r w:rsidRPr="3083DA05" w:rsidR="000C7917">
        <w:rPr>
          <w:lang w:val="en-US"/>
        </w:rPr>
        <w:t xml:space="preserve"> evidence to guide whether abdominal drains should be routinely inserted. We suggest that the choice of whether to insert drains should therefore be left to th</w:t>
      </w:r>
      <w:r w:rsidRPr="3083DA05" w:rsidR="000C7917">
        <w:rPr>
          <w:lang w:val="en-US"/>
        </w:rPr>
        <w:t xml:space="preserve">e judgment of the operating surgeon, balancing the individual risk of infection versus possible earlier detection of bleeding or biliary leaks, and that the insertion of a drain should not be considered mandatory. </w:t>
      </w:r>
    </w:p>
    <w:p w:rsidR="007D040D" w:rsidRDefault="000C7917" w14:paraId="00000004" w14:textId="77777777">
      <w:pPr>
        <w:spacing w:after="220" w:line="324" w:lineRule="auto"/>
      </w:pPr>
      <w:r w:rsidRPr="3083DA05" w:rsidR="000C7917">
        <w:rPr>
          <w:lang w:val="en-US"/>
        </w:rPr>
        <w:t>We have recommended that centres consider the use of machine perfusion as a desirable criterion. This includes hypothermic machine perfusion (HMP), normothermic machine perfusion (NMP) and normothermic regional perfusion (NRP), which were all strongly recommended in a systematic review investigating immediate and short-term outcomes following transplantation. The use of these technologies may contribute to the success of an ERAS protocol in several ways. All have been associated with a reduced risk of early</w:t>
      </w:r>
      <w:r w:rsidRPr="3083DA05" w:rsidR="000C7917">
        <w:rPr>
          <w:lang w:val="en-US"/>
        </w:rPr>
        <w:t xml:space="preserve"> allograft dysfunction. Additionally, the use of machine perfusion may allow for optimisation of the timing of the operation, aiming to carry it out in daylight hours when more staff and expertise are immediately available. HMP and NMP have also been associated with a shorter hospital length of stay. </w:t>
      </w:r>
    </w:p>
    <w:p w:rsidR="3083DA05" w:rsidP="3083DA05" w:rsidRDefault="3083DA05" w14:paraId="2CAC2AC8" w14:textId="79629387">
      <w:pPr>
        <w:spacing w:after="220" w:line="324" w:lineRule="auto"/>
        <w:rPr>
          <w:b w:val="1"/>
          <w:bCs w:val="1"/>
        </w:rPr>
      </w:pPr>
    </w:p>
    <w:p w:rsidR="007D040D" w:rsidP="3083DA05" w:rsidRDefault="000C7917" w14:paraId="00000005" w14:textId="77777777">
      <w:pPr>
        <w:spacing w:after="220" w:line="324" w:lineRule="auto"/>
        <w:rPr>
          <w:b w:val="1"/>
          <w:bCs w:val="1"/>
          <w:color w:val="auto"/>
        </w:rPr>
      </w:pPr>
      <w:r w:rsidRPr="3083DA05" w:rsidR="000C7917">
        <w:rPr>
          <w:b w:val="1"/>
          <w:bCs w:val="1"/>
          <w:color w:val="auto"/>
        </w:rPr>
        <w:t>Bibliography</w:t>
      </w:r>
    </w:p>
    <w:p w:rsidR="007D040D" w:rsidP="3083DA05" w:rsidRDefault="000C7917" w14:paraId="09BC7B19" w14:textId="74F87EBC">
      <w:pPr>
        <w:pStyle w:val="ListParagraph"/>
        <w:numPr>
          <w:ilvl w:val="0"/>
          <w:numId w:val="1"/>
        </w:numPr>
        <w:spacing w:after="220" w:line="324" w:lineRule="auto"/>
        <w:ind w:right="80"/>
        <w:rPr>
          <w:color w:val="auto"/>
          <w:u w:val="single"/>
          <w:lang w:val="en-US"/>
        </w:rPr>
      </w:pPr>
      <w:r w:rsidRPr="3083DA05" w:rsidR="000C7917">
        <w:rPr>
          <w:color w:val="auto"/>
          <w:lang w:val="en-US"/>
        </w:rPr>
        <w:t xml:space="preserve">Ramírez‐Del Val A, Guarrera J, Porte RJ, </w:t>
      </w:r>
      <w:r w:rsidRPr="3083DA05" w:rsidR="000C7917">
        <w:rPr>
          <w:color w:val="auto"/>
          <w:lang w:val="en-US"/>
        </w:rPr>
        <w:t>Selzner</w:t>
      </w:r>
      <w:r w:rsidRPr="3083DA05" w:rsidR="000C7917">
        <w:rPr>
          <w:color w:val="auto"/>
          <w:lang w:val="en-US"/>
        </w:rPr>
        <w:t xml:space="preserve"> M, Spiro M, Raptis DA, et al. Does machine perfusion improve immediate and short‐term outcomes by enhancing graft function and recipient recovery after liver transplantation? A systematic review of the literature, meta‐</w:t>
      </w:r>
      <w:r w:rsidRPr="3083DA05" w:rsidR="000C7917">
        <w:rPr>
          <w:color w:val="auto"/>
          <w:lang w:val="en-US"/>
        </w:rPr>
        <w:t>analysis</w:t>
      </w:r>
      <w:r w:rsidRPr="3083DA05" w:rsidR="000C7917">
        <w:rPr>
          <w:color w:val="auto"/>
          <w:lang w:val="en-US"/>
        </w:rPr>
        <w:t xml:space="preserve"> and expert panel recommendations. Clinical Transplantation [Internet]. 2022 Oct [cited 2025 July 30];36(10). Available from: </w:t>
      </w:r>
      <w:hyperlink r:id="Rb1b84d2ee02c4e16">
        <w:r w:rsidRPr="3083DA05" w:rsidR="007D040D">
          <w:rPr>
            <w:color w:val="auto"/>
            <w:u w:val="single"/>
            <w:lang w:val="en-US"/>
          </w:rPr>
          <w:t>https://onlinelibrary.wiley.com/doi/10.1111/ctr.14638</w:t>
        </w:r>
      </w:hyperlink>
    </w:p>
    <w:p w:rsidR="007D040D" w:rsidP="3083DA05" w:rsidRDefault="000C7917" w14:paraId="5308FB2F" w14:textId="783309CC">
      <w:pPr>
        <w:pStyle w:val="ListParagraph"/>
        <w:numPr>
          <w:ilvl w:val="0"/>
          <w:numId w:val="1"/>
        </w:numPr>
        <w:spacing w:after="220" w:line="324" w:lineRule="auto"/>
        <w:ind w:right="80"/>
        <w:rPr>
          <w:color w:val="auto"/>
          <w:u w:val="single"/>
          <w:lang w:val="en-US"/>
        </w:rPr>
      </w:pPr>
      <w:r w:rsidRPr="3083DA05" w:rsidR="000C7917">
        <w:rPr>
          <w:color w:val="auto"/>
          <w:lang w:val="en-US"/>
        </w:rPr>
        <w:t>Kalisvaart</w:t>
      </w:r>
      <w:r w:rsidRPr="3083DA05" w:rsidR="000C7917">
        <w:rPr>
          <w:color w:val="auto"/>
          <w:lang w:val="en-US"/>
        </w:rPr>
        <w:t xml:space="preserve"> M, De Jonge J, Abt P, Orloff S, </w:t>
      </w:r>
      <w:r w:rsidRPr="3083DA05" w:rsidR="000C7917">
        <w:rPr>
          <w:color w:val="auto"/>
          <w:lang w:val="en-US"/>
        </w:rPr>
        <w:t>Muiesan</w:t>
      </w:r>
      <w:r w:rsidRPr="3083DA05" w:rsidR="000C7917">
        <w:rPr>
          <w:color w:val="auto"/>
          <w:lang w:val="en-US"/>
        </w:rPr>
        <w:t xml:space="preserve"> P, Florman S, et al. The role of T‐tubes and abdominal drains on short‐term outcomes in liver transplantation – A systematic review of the literature and expert panel recommendations. Clinical Transplantation [Internet]. 2022 Oct [cited 2025 July 30];36(10). Available from: </w:t>
      </w:r>
      <w:hyperlink r:id="R432c7afbc467467f">
        <w:r w:rsidRPr="3083DA05" w:rsidR="007D040D">
          <w:rPr>
            <w:color w:val="auto"/>
            <w:u w:val="single"/>
            <w:lang w:val="en-US"/>
          </w:rPr>
          <w:t>https://onlinelibrary.wiley.com/doi/10.1111/ctr.14719</w:t>
        </w:r>
      </w:hyperlink>
    </w:p>
    <w:p w:rsidR="007D040D" w:rsidP="3083DA05" w:rsidRDefault="000C7917" w14:paraId="00000008" w14:textId="37DA81C5">
      <w:pPr>
        <w:pStyle w:val="ListParagraph"/>
        <w:numPr>
          <w:ilvl w:val="0"/>
          <w:numId w:val="1"/>
        </w:numPr>
        <w:spacing w:after="220" w:line="324" w:lineRule="auto"/>
        <w:ind w:right="80"/>
        <w:rPr>
          <w:color w:val="auto"/>
          <w:u w:val="single"/>
          <w:lang w:val="en-US"/>
        </w:rPr>
      </w:pPr>
      <w:r w:rsidRPr="3083DA05" w:rsidR="000C7917">
        <w:rPr>
          <w:color w:val="auto"/>
          <w:lang w:val="en-US"/>
        </w:rPr>
        <w:t xml:space="preserve">Shaker TM, Eason JD, Davidson BR, Barth RN, </w:t>
      </w:r>
      <w:r w:rsidRPr="3083DA05" w:rsidR="000C7917">
        <w:rPr>
          <w:color w:val="auto"/>
          <w:lang w:val="en-US"/>
        </w:rPr>
        <w:t>Pirenne</w:t>
      </w:r>
      <w:r w:rsidRPr="3083DA05" w:rsidR="000C7917">
        <w:rPr>
          <w:color w:val="auto"/>
          <w:lang w:val="en-US"/>
        </w:rPr>
        <w:t xml:space="preserve"> J, </w:t>
      </w:r>
      <w:r w:rsidRPr="3083DA05" w:rsidR="000C7917">
        <w:rPr>
          <w:color w:val="auto"/>
          <w:lang w:val="en-US"/>
        </w:rPr>
        <w:t>Imventarza</w:t>
      </w:r>
      <w:r w:rsidRPr="3083DA05" w:rsidR="000C7917">
        <w:rPr>
          <w:color w:val="auto"/>
          <w:lang w:val="en-US"/>
        </w:rPr>
        <w:t xml:space="preserve"> O, et al. Which cava anastomotic techniques are </w:t>
      </w:r>
      <w:r w:rsidRPr="3083DA05" w:rsidR="000C7917">
        <w:rPr>
          <w:color w:val="auto"/>
          <w:lang w:val="en-US"/>
        </w:rPr>
        <w:t>optimal</w:t>
      </w:r>
      <w:r w:rsidRPr="3083DA05" w:rsidR="000C7917">
        <w:rPr>
          <w:color w:val="auto"/>
          <w:lang w:val="en-US"/>
        </w:rPr>
        <w:t xml:space="preserve"> </w:t>
      </w:r>
      <w:r w:rsidRPr="3083DA05" w:rsidR="000C7917">
        <w:rPr>
          <w:color w:val="auto"/>
          <w:lang w:val="en-US"/>
        </w:rPr>
        <w:t>regarding</w:t>
      </w:r>
      <w:r w:rsidRPr="3083DA05" w:rsidR="000C7917">
        <w:rPr>
          <w:color w:val="auto"/>
          <w:lang w:val="en-US"/>
        </w:rPr>
        <w:t xml:space="preserve"> immediate and short‐term outcomes after liver transplantation: A systematic review of the literature and expert panel recommendations. Clinical Transplantation [Internet]. 2022 Oct [cited 2025 July 30];36(10). Available from: </w:t>
      </w:r>
      <w:hyperlink r:id="R09aeb411ac0e4166">
        <w:r w:rsidRPr="3083DA05" w:rsidR="007D040D">
          <w:rPr>
            <w:color w:val="auto"/>
            <w:u w:val="single"/>
            <w:lang w:val="en-US"/>
          </w:rPr>
          <w:t>https://onlinelibrary.wiley.com/doi/10.1111/ctr.14681</w:t>
        </w:r>
      </w:hyperlink>
    </w:p>
    <w:p w:rsidR="007D040D" w:rsidRDefault="007D040D" w14:paraId="00000009" w14:textId="77777777">
      <w:pPr>
        <w:spacing w:after="220" w:line="324" w:lineRule="auto"/>
      </w:pPr>
    </w:p>
    <w:p w:rsidR="007D040D" w:rsidRDefault="007D040D" w14:paraId="0000000A" w14:textId="77777777">
      <w:pPr>
        <w:spacing w:after="220" w:line="324" w:lineRule="auto"/>
        <w:rPr>
          <w:color w:val="1155CC"/>
          <w:u w:val="single"/>
        </w:rPr>
      </w:pPr>
    </w:p>
    <w:p w:rsidR="007D040D" w:rsidRDefault="007D040D" w14:paraId="0000000B" w14:textId="77777777"/>
    <w:p w:rsidR="007D040D" w:rsidRDefault="007D040D" w14:paraId="0000000C" w14:textId="77777777"/>
    <w:sectPr w:rsidR="007D040D">
      <w:pgSz w:w="12240" w:h="15840"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http://schemas.openxmlformats.org/wordprocessingml/2006/main">
  <w:abstractNum xmlns:w="http://schemas.openxmlformats.org/wordprocessingml/2006/main" w:abstractNumId="1">
    <w:nsid w:val="6a4b714"/>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040D"/>
    <w:rsid w:val="000C7917"/>
    <w:rsid w:val="002E0968"/>
    <w:rsid w:val="0072063F"/>
    <w:rsid w:val="007D040D"/>
    <w:rsid w:val="00F175AB"/>
    <w:rsid w:val="031A5428"/>
    <w:rsid w:val="11F5E6B5"/>
    <w:rsid w:val="248C11A8"/>
    <w:rsid w:val="3083DA05"/>
    <w:rsid w:val="45674A60"/>
    <w:rsid w:val="6AFCC384"/>
    <w:rsid w:val="6FE721D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docId w15:val="{AFCE79C2-0B8A-3F43-890A-FF7EEF7B1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uiPriority w:val="34"/>
    <w:name w:val="List Paragraph"/>
    <w:basedOn w:val="Normal"/>
    <w:qFormat/>
    <w:rsid w:val="3083DA05"/>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customXml" Target="../customXml/item3.xml" Id="rId3"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theme" Target="theme/theme1.xml" Id="rId11" /><Relationship Type="http://schemas.openxmlformats.org/officeDocument/2006/relationships/settings" Target="settings.xml" Id="rId5" /><Relationship Type="http://schemas.openxmlformats.org/officeDocument/2006/relationships/fontTable" Target="fontTable.xml" Id="rId10" /><Relationship Type="http://schemas.openxmlformats.org/officeDocument/2006/relationships/styles" Target="styles.xml" Id="rId4" /><Relationship Type="http://schemas.openxmlformats.org/officeDocument/2006/relationships/hyperlink" Target="https://onlinelibrary.wiley.com/doi/10.1111/ctr.14638" TargetMode="External" Id="Rb1b84d2ee02c4e16" /><Relationship Type="http://schemas.openxmlformats.org/officeDocument/2006/relationships/hyperlink" Target="https://onlinelibrary.wiley.com/doi/10.1111/ctr.14719" TargetMode="External" Id="R432c7afbc467467f" /><Relationship Type="http://schemas.openxmlformats.org/officeDocument/2006/relationships/hyperlink" Target="https://onlinelibrary.wiley.com/doi/10.1111/ctr.14681" TargetMode="External" Id="R09aeb411ac0e4166" /><Relationship Type="http://schemas.openxmlformats.org/officeDocument/2006/relationships/numbering" Target="numbering.xml" Id="R3711b1251deb415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097D6B675AF34D9FCBF20A3775A223" ma:contentTypeVersion="6" ma:contentTypeDescription="Create a new document." ma:contentTypeScope="" ma:versionID="38995a063970a75c27e08392df1f2be8">
  <xsd:schema xmlns:xsd="http://www.w3.org/2001/XMLSchema" xmlns:xs="http://www.w3.org/2001/XMLSchema" xmlns:p="http://schemas.microsoft.com/office/2006/metadata/properties" xmlns:ns2="585afff9-8319-4eb5-abf2-113748625117" xmlns:ns3="bf988a31-5909-44c6-a48e-b7c8f1d6bcaf" targetNamespace="http://schemas.microsoft.com/office/2006/metadata/properties" ma:root="true" ma:fieldsID="74a8e18255f930e55b9dd0c99f06b96a" ns2:_="" ns3:_="">
    <xsd:import namespace="585afff9-8319-4eb5-abf2-113748625117"/>
    <xsd:import namespace="bf988a31-5909-44c6-a48e-b7c8f1d6bc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5afff9-8319-4eb5-abf2-1137486251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988a31-5909-44c6-a48e-b7c8f1d6bc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CF7263A-5EFA-4145-B21B-D5E381E6E4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5afff9-8319-4eb5-abf2-113748625117"/>
    <ds:schemaRef ds:uri="bf988a31-5909-44c6-a48e-b7c8f1d6bc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9D6F35-932E-4D22-ACA8-02AB934DC2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6FC6E8C-CF6D-467C-8155-55977093D23A}">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WELLS, Gemma (LONDON NORTH WEST UNIVERSITY HEALTHCARE NHS TRUST)</lastModifiedBy>
  <revision>4</revision>
  <dcterms:created xsi:type="dcterms:W3CDTF">2025-08-15T10:59:00.0000000Z</dcterms:created>
  <dcterms:modified xsi:type="dcterms:W3CDTF">2025-08-15T11:01:12.6586515Z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0x0101004D097D6B675AF34D9FCBF20A3775A223</vt:lpwstr>
  </property>
</Properties>
</file>