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A60B17" w:rsidRDefault="00FD3668" w14:paraId="00000001" w14:textId="77777777">
      <w:pPr>
        <w:rPr>
          <w:b/>
        </w:rPr>
      </w:pPr>
      <w:r>
        <w:rPr>
          <w:b/>
        </w:rPr>
        <w:t xml:space="preserve">Hospital discharge </w:t>
      </w:r>
    </w:p>
    <w:p w:rsidR="00A60B17" w:rsidRDefault="00A60B17" w14:paraId="00000002" w14:textId="77777777">
      <w:pPr>
        <w:rPr>
          <w:b/>
        </w:rPr>
      </w:pPr>
    </w:p>
    <w:p w:rsidR="00A60B17" w:rsidRDefault="00FD3668" w14:paraId="00000003" w14:textId="36FE1DB3">
      <w:r w:rsidRPr="1981009E">
        <w:rPr>
          <w:lang w:val="en-US"/>
        </w:rPr>
        <w:t>There is no universally accepted optimal</w:t>
      </w:r>
      <w:r w:rsidRPr="1981009E">
        <w:rPr>
          <w:lang w:val="en-US"/>
        </w:rPr>
        <w:t xml:space="preserve"> date of discharge for liver transplant recipients. A one size fits all approach is unlikely to be possible given the significant level of </w:t>
      </w:r>
      <w:r w:rsidRPr="1981009E" w:rsidR="1235B1AB">
        <w:rPr>
          <w:lang w:val="en-US"/>
        </w:rPr>
        <w:t>heterogeneity</w:t>
      </w:r>
      <w:r w:rsidRPr="1981009E">
        <w:rPr>
          <w:lang w:val="en-US"/>
        </w:rPr>
        <w:t xml:space="preserve"> in patient baseline characteristics, graft quality, intraoperative events and postoperative course which may all influence the duration of hospital admission required. However, various studies examining the effect of enhanced recovery protocols for liver transplant recipients have found that early discharge is safe in selected patients, with no increase see</w:t>
      </w:r>
      <w:r w:rsidRPr="1981009E">
        <w:rPr>
          <w:lang w:val="en-US"/>
        </w:rPr>
        <w:t xml:space="preserve">n in post-transplant morbidity and mortality at 30 and 90 days and no increase in readmission rates. Although the evidence is weak due to the observational and often retrospective nature of the studies, some did demonstrate a reduction in complications such as acute cellular rejection and reduced rates of readmission in early discharge groups. </w:t>
      </w:r>
    </w:p>
    <w:p w:rsidR="00A60B17" w:rsidRDefault="00A60B17" w14:paraId="00000004" w14:textId="77777777"/>
    <w:p w:rsidR="00A60B17" w:rsidRDefault="00FD3668" w14:paraId="00000005" w14:textId="77777777">
      <w:r w:rsidRPr="1981009E">
        <w:rPr>
          <w:lang w:val="en-US"/>
        </w:rPr>
        <w:t>The ERAS4OLT systematic review has hence suggested that a discharge date between 6-8 days can be safely achieved for selected patients provided that there are sufficient follow up arrangements in place. This is supported by the findings from a recent quality improvement intervention in Canada, which demonstrated a reduction in median hospital length of stay from 18.4 to 9 days, sustained over 24 months, without any increase in 30 or 90 day readmission rates. This was achieved with measures aimed at increasi</w:t>
      </w:r>
      <w:r w:rsidRPr="1981009E">
        <w:rPr>
          <w:lang w:val="en-US"/>
        </w:rPr>
        <w:t xml:space="preserve">ng patient engagement, multidisciplinary team working and addressing potential barriers to discharge. </w:t>
      </w:r>
    </w:p>
    <w:p w:rsidR="00A60B17" w:rsidRDefault="00A60B17" w14:paraId="00000006" w14:textId="77777777"/>
    <w:p w:rsidR="00A60B17" w:rsidRDefault="00FD3668" w14:paraId="00000007" w14:textId="77777777">
      <w:r>
        <w:t xml:space="preserve">In addition to early discharge planning and identification of potential barriers to discharge, the core elements of this protocol include provision of discharge information such as medication lists, post-transplant advice and details of follow up appointments which are aimed at meeting expectations for safe and robust follow up following discharge from hospital, regardless of admission length, for all patients. </w:t>
      </w:r>
    </w:p>
    <w:p w:rsidR="00A60B17" w:rsidRDefault="00A60B17" w14:paraId="00000008" w14:textId="77777777"/>
    <w:p w:rsidR="00A60B17" w:rsidRDefault="00A60B17" w14:paraId="00000009" w14:textId="77777777">
      <w:pPr>
        <w:rPr>
          <w:b/>
        </w:rPr>
      </w:pPr>
    </w:p>
    <w:p w:rsidR="00A60B17" w:rsidRDefault="00FD3668" w14:paraId="0000000A" w14:textId="77777777">
      <w:pPr>
        <w:rPr>
          <w:b/>
        </w:rPr>
      </w:pPr>
      <w:r>
        <w:rPr>
          <w:b/>
        </w:rPr>
        <w:t>Bibliography</w:t>
      </w:r>
    </w:p>
    <w:p w:rsidR="00A60B17" w:rsidRDefault="00A60B17" w14:paraId="0000000B" w14:textId="77777777"/>
    <w:p w:rsidR="00A60B17" w:rsidP="5340A72B" w:rsidRDefault="00FD3668" w14:paraId="6288787E" w14:textId="5250AD87">
      <w:pPr>
        <w:pStyle w:val="ListParagraph"/>
        <w:numPr>
          <w:ilvl w:val="0"/>
          <w:numId w:val="1"/>
        </w:numPr>
        <w:spacing w:after="220" w:line="324" w:lineRule="auto"/>
        <w:rPr/>
      </w:pPr>
      <w:r w:rsidRPr="5340A72B" w:rsidR="00FD3668">
        <w:rPr>
          <w:lang w:val="en-US"/>
        </w:rPr>
        <w:t xml:space="preserve">Tanaka T, Reichman TW, Olmos A, Akamatsu N, </w:t>
      </w:r>
      <w:r w:rsidRPr="5340A72B" w:rsidR="00FD3668">
        <w:rPr>
          <w:lang w:val="en-US"/>
        </w:rPr>
        <w:t>Mrzljak</w:t>
      </w:r>
      <w:r w:rsidRPr="5340A72B" w:rsidR="00FD3668">
        <w:rPr>
          <w:lang w:val="en-US"/>
        </w:rPr>
        <w:t xml:space="preserve"> A, Spiro M, et al. When is the </w:t>
      </w:r>
      <w:r w:rsidRPr="5340A72B" w:rsidR="00FD3668">
        <w:rPr>
          <w:lang w:val="en-US"/>
        </w:rPr>
        <w:t>optimal</w:t>
      </w:r>
      <w:r w:rsidRPr="5340A72B" w:rsidR="00FD3668">
        <w:rPr>
          <w:lang w:val="en-US"/>
        </w:rPr>
        <w:t xml:space="preserve"> time to discharge patients after liver transplantation with respect to short‐term outcomes? A systematic review of the literature and expert panel recommendations. Clinical Transplantation [Internet]. 2022 Oct [cited 2025 Aug 5];36(10). Available from: </w:t>
      </w:r>
      <w:hyperlink r:id="Ree218f558da24d9a">
        <w:r w:rsidRPr="5340A72B" w:rsidR="00A60B17">
          <w:rPr>
            <w:color w:val="1155CC"/>
            <w:u w:val="single"/>
            <w:lang w:val="en-US"/>
          </w:rPr>
          <w:t>https://onlinelibrary.wiley.com/doi/10.1111/ctr.14685</w:t>
        </w:r>
      </w:hyperlink>
    </w:p>
    <w:p w:rsidR="00A60B17" w:rsidP="5340A72B" w:rsidRDefault="00FD3668" w14:paraId="0000000D" w14:textId="5B38650E">
      <w:pPr>
        <w:pStyle w:val="ListParagraph"/>
        <w:numPr>
          <w:ilvl w:val="0"/>
          <w:numId w:val="1"/>
        </w:numPr>
        <w:spacing w:after="220" w:line="324" w:lineRule="auto"/>
        <w:rPr>
          <w:sz w:val="22"/>
          <w:szCs w:val="22"/>
        </w:rPr>
      </w:pPr>
      <w:r w:rsidRPr="5340A72B" w:rsidR="00FD3668">
        <w:rPr>
          <w:lang w:val="en-US"/>
        </w:rPr>
        <w:t xml:space="preserve">Sachar Y, </w:t>
      </w:r>
      <w:r w:rsidRPr="5340A72B" w:rsidR="00FD3668">
        <w:rPr>
          <w:lang w:val="en-US"/>
        </w:rPr>
        <w:t>Alamr</w:t>
      </w:r>
      <w:r w:rsidRPr="5340A72B" w:rsidR="00FD3668">
        <w:rPr>
          <w:lang w:val="en-US"/>
        </w:rPr>
        <w:t xml:space="preserve"> A, Gob A, Tang E, </w:t>
      </w:r>
      <w:r w:rsidRPr="5340A72B" w:rsidR="00FD3668">
        <w:rPr>
          <w:lang w:val="en-US"/>
        </w:rPr>
        <w:t>Teriaky</w:t>
      </w:r>
      <w:r w:rsidRPr="5340A72B" w:rsidR="00FD3668">
        <w:rPr>
          <w:lang w:val="en-US"/>
        </w:rPr>
        <w:t xml:space="preserve"> A, </w:t>
      </w:r>
      <w:r w:rsidRPr="5340A72B" w:rsidR="00FD3668">
        <w:rPr>
          <w:lang w:val="en-US"/>
        </w:rPr>
        <w:t>Qumosani</w:t>
      </w:r>
      <w:r w:rsidRPr="5340A72B" w:rsidR="00FD3668">
        <w:rPr>
          <w:lang w:val="en-US"/>
        </w:rPr>
        <w:t xml:space="preserve"> K, et al. Reducing length of stay in patients following liver transplantation using the model for continuous improvement. BMJ Open Qual. 2023 Mar;12(1</w:t>
      </w:r>
      <w:r w:rsidRPr="5340A72B" w:rsidR="00FD3668">
        <w:rPr>
          <w:lang w:val="en-US"/>
        </w:rPr>
        <w:t>):e</w:t>
      </w:r>
      <w:r w:rsidRPr="5340A72B" w:rsidR="00FD3668">
        <w:rPr>
          <w:lang w:val="en-US"/>
        </w:rPr>
        <w:t>002149.</w:t>
      </w:r>
    </w:p>
    <w:p w:rsidR="00A60B17" w:rsidRDefault="00A60B17" w14:paraId="0000000E" w14:textId="77777777">
      <w:pPr>
        <w:spacing w:line="324" w:lineRule="auto"/>
        <w:ind w:right="80"/>
        <w:rPr>
          <w:color w:val="1155CC"/>
          <w:u w:val="single"/>
        </w:rPr>
      </w:pPr>
    </w:p>
    <w:p w:rsidR="00A60B17" w:rsidRDefault="00A60B17" w14:paraId="0000000F" w14:textId="77777777"/>
    <w:p w:rsidR="00A60B17" w:rsidRDefault="00A60B17" w14:paraId="00000010" w14:textId="77777777"/>
    <w:sectPr w:rsidR="00A60B17">
      <w:pgSz w:w="12240" w:h="15840" w:orient="portrait"/>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http://schemas.openxmlformats.org/wordprocessingml/2006/main">
  <w:abstractNum xmlns:w="http://schemas.openxmlformats.org/wordprocessingml/2006/main" w:abstractNumId="1">
    <w:nsid w:val="43cce7b"/>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0B17"/>
    <w:rsid w:val="00134E43"/>
    <w:rsid w:val="0072063F"/>
    <w:rsid w:val="0093177E"/>
    <w:rsid w:val="00A60B17"/>
    <w:rsid w:val="00FD3668"/>
    <w:rsid w:val="1235B1AB"/>
    <w:rsid w:val="1981009E"/>
    <w:rsid w:val="26AE92FD"/>
    <w:rsid w:val="5340A72B"/>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ecimalSymbol w:val="."/>
  <w:listSeparator w:val=","/>
  <w15:docId w15:val="{AFCE79C2-0B8A-3F43-890A-FF7EEF7B19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hAnsi="Arial" w:eastAsia="Arial" w:cs="Arial"/>
        <w:sz w:val="22"/>
        <w:szCs w:val="22"/>
        <w:lang w:val="en"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Normal0" w:customStyle="1">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uiPriority w:val="34"/>
    <w:name w:val="List Paragraph"/>
    <w:basedOn w:val="Normal"/>
    <w:qFormat/>
    <w:rsid w:val="5340A72B"/>
    <w:pPr>
      <w:spacing/>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customXml" Target="../customXml/item3.xml" Id="rId3"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settings" Target="settings.xml" Id="rId5" /><Relationship Type="http://schemas.openxmlformats.org/officeDocument/2006/relationships/styles" Target="styles.xml" Id="rId4" /><Relationship Type="http://schemas.openxmlformats.org/officeDocument/2006/relationships/theme" Target="theme/theme1.xml" Id="rId9" /><Relationship Type="http://schemas.openxmlformats.org/officeDocument/2006/relationships/hyperlink" Target="https://onlinelibrary.wiley.com/doi/10.1111/ctr.14685" TargetMode="External" Id="Ree218f558da24d9a" /><Relationship Type="http://schemas.openxmlformats.org/officeDocument/2006/relationships/numbering" Target="numbering.xml" Id="Rf44cb5a622cf424a"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D097D6B675AF34D9FCBF20A3775A223" ma:contentTypeVersion="6" ma:contentTypeDescription="Create a new document." ma:contentTypeScope="" ma:versionID="38995a063970a75c27e08392df1f2be8">
  <xsd:schema xmlns:xsd="http://www.w3.org/2001/XMLSchema" xmlns:xs="http://www.w3.org/2001/XMLSchema" xmlns:p="http://schemas.microsoft.com/office/2006/metadata/properties" xmlns:ns2="585afff9-8319-4eb5-abf2-113748625117" xmlns:ns3="bf988a31-5909-44c6-a48e-b7c8f1d6bcaf" targetNamespace="http://schemas.microsoft.com/office/2006/metadata/properties" ma:root="true" ma:fieldsID="74a8e18255f930e55b9dd0c99f06b96a" ns2:_="" ns3:_="">
    <xsd:import namespace="585afff9-8319-4eb5-abf2-113748625117"/>
    <xsd:import namespace="bf988a31-5909-44c6-a48e-b7c8f1d6bcaf"/>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85afff9-8319-4eb5-abf2-11374862511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f988a31-5909-44c6-a48e-b7c8f1d6bcaf"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FC8027D-F966-45F0-9B17-AC559290C4B0}">
  <ds:schemaRefs>
    <ds:schemaRef ds:uri="http://schemas.microsoft.com/sharepoint/v3/contenttype/forms"/>
  </ds:schemaRefs>
</ds:datastoreItem>
</file>

<file path=customXml/itemProps2.xml><?xml version="1.0" encoding="utf-8"?>
<ds:datastoreItem xmlns:ds="http://schemas.openxmlformats.org/officeDocument/2006/customXml" ds:itemID="{DF09A64D-85E6-40AF-90B2-56A2FF887EB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85afff9-8319-4eb5-abf2-113748625117"/>
    <ds:schemaRef ds:uri="bf988a31-5909-44c6-a48e-b7c8f1d6bca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FE3A682-B3CE-4718-B775-8C99E129C8BB}">
  <ds:schemaRefs>
    <ds:schemaRef ds:uri="http://schemas.microsoft.com/office/2006/metadata/properties"/>
    <ds:schemaRef ds:uri="http://schemas.microsoft.com/office/infopath/2007/PartnerControl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lastModifiedBy>WELLS, Gemma (LONDON NORTH WEST UNIVERSITY HEALTHCARE NHS TRUST)</lastModifiedBy>
  <revision>4</revision>
  <dcterms:created xsi:type="dcterms:W3CDTF">2025-08-15T10:57:00.0000000Z</dcterms:created>
  <dcterms:modified xsi:type="dcterms:W3CDTF">2025-08-15T10:58:02.8733163Z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0x0101004D097D6B675AF34D9FCBF20A3775A223</vt:lpwstr>
  </property>
</Properties>
</file>