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0C54C6" w:rsidRDefault="00000000" w14:paraId="00000001" w14:textId="77777777">
      <w:pPr>
        <w:spacing w:line="324" w:lineRule="auto"/>
        <w:ind w:right="80"/>
        <w:rPr>
          <w:b/>
        </w:rPr>
      </w:pPr>
      <w:r>
        <w:rPr>
          <w:b/>
        </w:rPr>
        <w:t>Post-operative analgesia</w:t>
      </w:r>
    </w:p>
    <w:p w:rsidR="000C54C6" w:rsidRDefault="000C54C6" w14:paraId="00000002" w14:textId="77777777">
      <w:pPr>
        <w:spacing w:line="324" w:lineRule="auto"/>
        <w:ind w:right="80"/>
        <w:rPr>
          <w:b/>
        </w:rPr>
      </w:pPr>
    </w:p>
    <w:p w:rsidR="000C54C6" w:rsidRDefault="00000000" w14:paraId="00000003" w14:textId="77777777">
      <w:pPr>
        <w:spacing w:line="324" w:lineRule="auto"/>
        <w:ind w:right="80"/>
      </w:pPr>
      <w:r w:rsidRPr="1D48DA22" w:rsidR="00000000">
        <w:rPr>
          <w:lang w:val="en-US"/>
        </w:rPr>
        <w:t xml:space="preserve">The cornerstone of the ERAS recommendations regarding analgesia is the reduction of opioid use, including patient-controlled analgesia, in the post-operative period. Opioid medications are linked with undesirable short-term side effects relevant to an ERAS programme, such as nausea, constipation and delirium. The ERAS4OLT systematic review published in 2022 found that studies assessing the short-term outcomes of opioid-avoidance protocols in liver transplant recipients found lower mortality, shorter time to extubation and shorter intensive care length of stay as beneficial outcomes. The pain scores in the opioid-avoidance groups were also lower, indicating that these strategies were in fact more effective than traditional opioid-predominant post-operative pain management. </w:t>
      </w:r>
    </w:p>
    <w:p w:rsidR="000C54C6" w:rsidRDefault="000C54C6" w14:paraId="00000004" w14:textId="77777777">
      <w:pPr>
        <w:spacing w:line="324" w:lineRule="auto"/>
        <w:ind w:right="80"/>
        <w:rPr>
          <w:b/>
        </w:rPr>
      </w:pPr>
    </w:p>
    <w:p w:rsidR="000C54C6" w:rsidRDefault="00000000" w14:paraId="00000005" w14:textId="77777777">
      <w:pPr>
        <w:spacing w:line="324" w:lineRule="auto"/>
        <w:ind w:right="80"/>
      </w:pPr>
      <w:r w:rsidRPr="1D48DA22" w:rsidR="00000000">
        <w:rPr>
          <w:lang w:val="en-US"/>
        </w:rPr>
        <w:t xml:space="preserve">Multiple opioid-sparing techniques have been studied in liver transplant recipients and can be considered as part of an ERAS programme. These include methods utilising local anaesthetic infiltration. In centres which have the necessary experience and expertise, thoracic epidural anaesthesia, transversus abdominis plane (TAP) blocks and wound infiltration catheters may be considered in appropriately selected patients to reduce opioid requirements. Patient specific factors such as coagulopathy and abdominal wall varices should be assessed on a case-specific basis. These techniques can form part of a multimodal analgesia strategy which may also incorporate non-opioid medications which are safe in liver transplant recipients, including paracetamol and ketamine in selected patients. Non-steroidal anti-inflammatory drugs are not recommended given the potential for renal injury in this patient population. </w:t>
      </w:r>
    </w:p>
    <w:p w:rsidR="000C54C6" w:rsidRDefault="000C54C6" w14:paraId="00000006" w14:textId="77777777">
      <w:pPr>
        <w:spacing w:line="324" w:lineRule="auto"/>
        <w:ind w:right="80"/>
      </w:pPr>
    </w:p>
    <w:p w:rsidR="5887CE39" w:rsidP="1D48DA22" w:rsidRDefault="5887CE39" w14:paraId="0F4663DB" w14:textId="14D132F5">
      <w:pPr>
        <w:pStyle w:val="Normal"/>
        <w:suppressLineNumbers w:val="0"/>
        <w:bidi w:val="0"/>
        <w:spacing w:before="0" w:beforeAutospacing="off" w:after="220" w:afterAutospacing="off" w:line="324" w:lineRule="auto"/>
        <w:ind w:left="0" w:right="80"/>
        <w:jc w:val="left"/>
      </w:pPr>
      <w:r w:rsidRPr="1D48DA22" w:rsidR="5887CE39">
        <w:rPr>
          <w:b w:val="1"/>
          <w:bCs w:val="1"/>
        </w:rPr>
        <w:t>Bibliography</w:t>
      </w:r>
    </w:p>
    <w:p w:rsidR="000C54C6" w:rsidRDefault="00000000" w14:paraId="00000008" w14:textId="77777777">
      <w:pPr>
        <w:numPr>
          <w:ilvl w:val="0"/>
          <w:numId w:val="1"/>
        </w:numPr>
        <w:spacing w:line="324" w:lineRule="auto"/>
        <w:ind w:right="80"/>
        <w:rPr/>
      </w:pPr>
      <w:r w:rsidRPr="1D48DA22" w:rsidR="00000000">
        <w:rPr>
          <w:lang w:val="en-US"/>
        </w:rPr>
        <w:t xml:space="preserve">Sun L, Gitman M, Malik A, Te Terry PL, Spiro M, Raptis DA, et al. Optimal management of perioperative analgesia regarding immediate and short‐term outcomes after liver transplantation – A systematic review, meta‐analysis and expert panel recommendations. Clinical Transplantation [Internet]. 2022 Oct [cited 2025 Aug 15];36(10). Available from: </w:t>
      </w:r>
      <w:hyperlink r:id="R50aab62b469d4fbc">
        <w:r w:rsidRPr="1D48DA22" w:rsidR="00000000">
          <w:rPr>
            <w:color w:val="1155CC"/>
            <w:u w:val="single"/>
            <w:lang w:val="en-US"/>
          </w:rPr>
          <w:t>https://onlinelibrary.wiley.com/doi/10.1111/ctr.14640</w:t>
        </w:r>
      </w:hyperlink>
    </w:p>
    <w:p w:rsidR="000C54C6" w:rsidRDefault="00000000" w14:paraId="00000009" w14:textId="77777777">
      <w:pPr>
        <w:numPr>
          <w:ilvl w:val="0"/>
          <w:numId w:val="1"/>
        </w:numPr>
        <w:spacing w:line="324" w:lineRule="auto"/>
        <w:ind w:right="80"/>
        <w:rPr/>
      </w:pPr>
      <w:r w:rsidRPr="1D48DA22" w:rsidR="00000000">
        <w:rPr>
          <w:lang w:val="en-US"/>
        </w:rPr>
        <w:t>Dong V, Nadim MK, Karvellas CJ. Post–Liver Transplant Acute Kidney Injury. Liver Transpl. 2021 Nov;27(11):1653–64.</w:t>
      </w:r>
    </w:p>
    <w:p w:rsidR="000C54C6" w:rsidRDefault="00000000" w14:paraId="0000000A" w14:textId="77777777">
      <w:pPr>
        <w:numPr>
          <w:ilvl w:val="0"/>
          <w:numId w:val="1"/>
        </w:numPr>
        <w:spacing w:line="324" w:lineRule="auto"/>
        <w:ind w:right="80"/>
        <w:rPr/>
      </w:pPr>
      <w:r w:rsidRPr="1D48DA22" w:rsidR="00000000">
        <w:rPr>
          <w:lang w:val="en-US"/>
        </w:rPr>
        <w:t xml:space="preserve">O’Leary JG, Levitsky J, Wong F, Nadim MK, Charlton M, Kim WR. Protecting the Kidney in Liver Transplant Candidates: Practice-Based Recommendations </w:t>
      </w:r>
      <w:r w:rsidRPr="1D48DA22" w:rsidR="00000000">
        <w:rPr>
          <w:lang w:val="en-US"/>
        </w:rPr>
        <w:t>From</w:t>
      </w:r>
      <w:r w:rsidRPr="1D48DA22" w:rsidR="00000000">
        <w:rPr>
          <w:lang w:val="en-US"/>
        </w:rPr>
        <w:t xml:space="preserve"> the American Society of Transplantation Liver and Intestine Community of Practice. American Journal of Transplantation. 2016 Sept;16(9):2516–31.</w:t>
      </w:r>
    </w:p>
    <w:p w:rsidR="000C54C6" w:rsidRDefault="00000000" w14:paraId="0000000B" w14:textId="77777777">
      <w:pPr>
        <w:numPr>
          <w:ilvl w:val="0"/>
          <w:numId w:val="1"/>
        </w:numPr>
        <w:spacing w:after="220" w:line="324" w:lineRule="auto"/>
        <w:ind w:right="80"/>
        <w:rPr/>
      </w:pPr>
      <w:r w:rsidRPr="1D48DA22" w:rsidR="00000000">
        <w:rPr>
          <w:lang w:val="en-US"/>
        </w:rPr>
        <w:t xml:space="preserve">Papadopoulou A, Cowan SL, Preller J, Goudie RJB. Validation of PREdiction of DELIRium in ICu patients (PRE-DELIRIC) model for ICU delirium in general ICU and </w:t>
      </w:r>
      <w:r w:rsidRPr="1D48DA22" w:rsidR="00000000">
        <w:rPr>
          <w:lang w:val="en-US"/>
        </w:rPr>
        <w:t>patients with liver disease: a retrospective cohort study. J Intensive Care. 2025 June 16;13(1):33.</w:t>
      </w:r>
    </w:p>
    <w:p w:rsidR="000C54C6" w:rsidRDefault="000C54C6" w14:paraId="0000000C" w14:textId="77777777">
      <w:pPr>
        <w:spacing w:line="324" w:lineRule="auto"/>
        <w:ind w:right="80"/>
      </w:pPr>
    </w:p>
    <w:p w:rsidR="000C54C6" w:rsidRDefault="000C54C6" w14:paraId="0000000D" w14:textId="77777777"/>
    <w:p w:rsidR="000C54C6" w:rsidRDefault="000C54C6" w14:paraId="0000000E" w14:textId="77777777"/>
    <w:sectPr w:rsidR="000C54C6">
      <w:pgSz w:w="12240" w:h="15840" w:orient="portrait"/>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2590E61"/>
    <w:multiLevelType w:val="multilevel"/>
    <w:tmpl w:val="8074672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0775548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3"/>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54C6"/>
    <w:rsid w:val="00000000"/>
    <w:rsid w:val="000C54C6"/>
    <w:rsid w:val="00154BC5"/>
    <w:rsid w:val="0072063F"/>
    <w:rsid w:val="1D48DA22"/>
    <w:rsid w:val="5887CE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docId w15:val="{AFCE79C2-0B8A-3F43-890A-FF7EEF7B1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hAnsi="Arial" w:eastAsia="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Normal0" w:customStyle="1">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&#65279;<?xml version="1.0" encoding="utf-8"?><Relationships xmlns="http://schemas.openxmlformats.org/package/2006/relationships"><Relationship Type="http://schemas.openxmlformats.org/officeDocument/2006/relationships/customXml" Target="../customXml/item1.xml" Id="rId8" /><Relationship Type="http://schemas.openxmlformats.org/officeDocument/2006/relationships/settings" Target="settings.xml" Id="rId3" /><Relationship Type="http://schemas.openxmlformats.org/officeDocument/2006/relationships/theme" Target="theme/theme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fontTable" Target="fontTable.xml" Id="rId6" /><Relationship Type="http://schemas.openxmlformats.org/officeDocument/2006/relationships/customXml" Target="../customXml/item3.xml" Id="rId10" /><Relationship Type="http://schemas.openxmlformats.org/officeDocument/2006/relationships/webSettings" Target="webSettings.xml" Id="rId4" /><Relationship Type="http://schemas.openxmlformats.org/officeDocument/2006/relationships/customXml" Target="../customXml/item2.xml" Id="rId9" /><Relationship Type="http://schemas.openxmlformats.org/officeDocument/2006/relationships/hyperlink" Target="https://onlinelibrary.wiley.com/doi/10.1111/ctr.14640" TargetMode="External" Id="R50aab62b469d4fbc"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D097D6B675AF34D9FCBF20A3775A223" ma:contentTypeVersion="6" ma:contentTypeDescription="Create a new document." ma:contentTypeScope="" ma:versionID="38995a063970a75c27e08392df1f2be8">
  <xsd:schema xmlns:xsd="http://www.w3.org/2001/XMLSchema" xmlns:xs="http://www.w3.org/2001/XMLSchema" xmlns:p="http://schemas.microsoft.com/office/2006/metadata/properties" xmlns:ns2="585afff9-8319-4eb5-abf2-113748625117" xmlns:ns3="bf988a31-5909-44c6-a48e-b7c8f1d6bcaf" targetNamespace="http://schemas.microsoft.com/office/2006/metadata/properties" ma:root="true" ma:fieldsID="74a8e18255f930e55b9dd0c99f06b96a" ns2:_="" ns3:_="">
    <xsd:import namespace="585afff9-8319-4eb5-abf2-113748625117"/>
    <xsd:import namespace="bf988a31-5909-44c6-a48e-b7c8f1d6bca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5afff9-8319-4eb5-abf2-11374862511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f988a31-5909-44c6-a48e-b7c8f1d6bca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3310C19-A42F-47A6-95AC-81C3932D04AF}"/>
</file>

<file path=customXml/itemProps2.xml><?xml version="1.0" encoding="utf-8"?>
<ds:datastoreItem xmlns:ds="http://schemas.openxmlformats.org/officeDocument/2006/customXml" ds:itemID="{603F7D4C-704A-4010-91D9-3D5D393DA698}"/>
</file>

<file path=customXml/itemProps3.xml><?xml version="1.0" encoding="utf-8"?>
<ds:datastoreItem xmlns:ds="http://schemas.openxmlformats.org/officeDocument/2006/customXml" ds:itemID="{0765843B-03F8-4EE4-A4AF-DFDE5C23746C}"/>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lastModifiedBy>WELLS, Gemma (LONDON NORTH WEST UNIVERSITY HEALTHCARE NHS TRUST)</lastModifiedBy>
  <revision>3</revision>
  <dcterms:created xsi:type="dcterms:W3CDTF">2025-08-15T10:27:00.0000000Z</dcterms:created>
  <dcterms:modified xsi:type="dcterms:W3CDTF">2025-08-15T10:58:29.5502885Z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0x0101004D097D6B675AF34D9FCBF20A3775A223</vt:lpwstr>
  </property>
</Properties>
</file>