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5E0BC2" w:rsidP="58D7DABF" w:rsidRDefault="003A61CD" w14:paraId="00000001" w14:textId="77777777">
      <w:pPr>
        <w:rPr>
          <w:b w:val="1"/>
          <w:bCs w:val="1"/>
          <w:lang w:val="en-US"/>
        </w:rPr>
      </w:pPr>
      <w:r w:rsidRPr="58D7DABF" w:rsidR="003A61CD">
        <w:rPr>
          <w:b w:val="1"/>
          <w:bCs w:val="1"/>
          <w:lang w:val="en-US"/>
        </w:rPr>
        <w:t xml:space="preserve">Early extubation </w:t>
      </w:r>
    </w:p>
    <w:p w:rsidR="005E0BC2" w:rsidRDefault="005E0BC2" w14:paraId="00000002" w14:textId="77777777"/>
    <w:p w:rsidR="005E0BC2" w:rsidRDefault="003A61CD" w14:paraId="00000003" w14:textId="5125BCBC">
      <w:r w:rsidRPr="44F8A856">
        <w:rPr>
          <w:lang w:val="en-US"/>
        </w:rPr>
        <w:t>We consider early extubation</w:t>
      </w:r>
      <w:r w:rsidRPr="44F8A856">
        <w:rPr>
          <w:lang w:val="en-US"/>
        </w:rPr>
        <w:t xml:space="preserve"> following liver transplantation critically important to the success of an ERAS protocol, for numerous reasons. ICU length of stay has consistently been found to be shorter in early extubation cohorts, alongside reductions in overall hospital length of stay. The direct benefits of early extubation which are relevant to enhanced post-operative recovery include reductions in pulmonary complications and reintubation rates. A large cohort study found a significantly reduced incidence of post-operative delirium </w:t>
      </w:r>
      <w:r w:rsidRPr="44F8A856">
        <w:rPr>
          <w:lang w:val="en-US"/>
        </w:rPr>
        <w:t xml:space="preserve">in this cohort, which is crucial when considering possible limitations to patient participation in ERAS. In addition, removal of the endotracheal tube facilitates other key components of ERAS during recovery, including the removal of other indwelling lines and tubes, early nutrition and mobilisation. </w:t>
      </w:r>
    </w:p>
    <w:p w:rsidR="005E0BC2" w:rsidRDefault="005E0BC2" w14:paraId="00000004" w14:textId="77777777"/>
    <w:p w:rsidR="005E0BC2" w:rsidRDefault="003A61CD" w14:paraId="00000005" w14:textId="77777777">
      <w:r w:rsidRPr="44F8A856">
        <w:rPr>
          <w:lang w:val="en-US"/>
        </w:rPr>
        <w:t xml:space="preserve">Given that there is a lack of randomised control trials in this area and the evidence is largely based on observational data, the main criticism has historically been that patients undergoing early extubation are a highly selected group likely to have better outcomes regardless of extubation timing. Various authors have addressed this issue using techniques such as matched cohort studies and propensity score matching, which have indicated that there are real benefits to early extubation. What is clear from </w:t>
      </w:r>
      <w:r w:rsidRPr="44F8A856">
        <w:rPr>
          <w:lang w:val="en-US"/>
        </w:rPr>
        <w:t xml:space="preserve">the multiple studies included in the systematic review is that in appropriately selected patients, early extubation is safe and does not carry any increased risk of reintubation. As part of our ERAS protocol we have therefore included a suggested list of criteria for early extubation, incorporating feedback from multiple UK transplant centres, which acknowledges that certain parameters are associated with a higher likelihood of successful extubation. </w:t>
      </w:r>
    </w:p>
    <w:p w:rsidR="005E0BC2" w:rsidRDefault="005E0BC2" w14:paraId="00000006" w14:textId="77777777">
      <w:pPr>
        <w:spacing w:after="220" w:line="324" w:lineRule="auto"/>
      </w:pPr>
    </w:p>
    <w:p w:rsidR="005E0BC2" w:rsidP="58D7DABF" w:rsidRDefault="003A61CD" w14:paraId="00000007" w14:textId="77777777">
      <w:pPr>
        <w:spacing w:after="220" w:line="324" w:lineRule="auto"/>
        <w:rPr>
          <w:b w:val="1"/>
          <w:bCs w:val="1"/>
        </w:rPr>
      </w:pPr>
      <w:r w:rsidRPr="58D7DABF" w:rsidR="003A61CD">
        <w:rPr>
          <w:b w:val="1"/>
          <w:bCs w:val="1"/>
        </w:rPr>
        <w:t xml:space="preserve">Bibliography </w:t>
      </w:r>
    </w:p>
    <w:p w:rsidR="005E0BC2" w:rsidP="58D7DABF" w:rsidRDefault="003A61CD" w14:paraId="09EC08EC" w14:textId="4226C820">
      <w:pPr>
        <w:pStyle w:val="ListParagraph"/>
        <w:numPr>
          <w:ilvl w:val="0"/>
          <w:numId w:val="1"/>
        </w:numPr>
        <w:spacing w:after="220" w:line="324" w:lineRule="auto"/>
        <w:rPr/>
      </w:pPr>
      <w:r w:rsidRPr="58D7DABF" w:rsidR="003A61CD">
        <w:rPr>
          <w:lang w:val="en-US"/>
        </w:rPr>
        <w:t xml:space="preserve">Tinguely P, Badenoch A, </w:t>
      </w:r>
      <w:r w:rsidRPr="58D7DABF" w:rsidR="003A61CD">
        <w:rPr>
          <w:lang w:val="en-US"/>
        </w:rPr>
        <w:t>Krzanicki</w:t>
      </w:r>
      <w:r w:rsidRPr="58D7DABF" w:rsidR="003A61CD">
        <w:rPr>
          <w:lang w:val="en-US"/>
        </w:rPr>
        <w:t xml:space="preserve"> D, Kronish K, Lindsay M, Khanal P, et al. The role of early </w:t>
      </w:r>
      <w:r w:rsidRPr="58D7DABF" w:rsidR="003A61CD">
        <w:rPr>
          <w:lang w:val="en-US"/>
        </w:rPr>
        <w:t>extubation</w:t>
      </w:r>
      <w:r w:rsidRPr="58D7DABF" w:rsidR="003A61CD">
        <w:rPr>
          <w:lang w:val="en-US"/>
        </w:rPr>
        <w:t xml:space="preserve"> on short‐term outcomes after liver transplantation – A systematic review, meta‐</w:t>
      </w:r>
      <w:r w:rsidRPr="58D7DABF" w:rsidR="003A61CD">
        <w:rPr>
          <w:lang w:val="en-US"/>
        </w:rPr>
        <w:t>analysis</w:t>
      </w:r>
      <w:r w:rsidRPr="58D7DABF" w:rsidR="003A61CD">
        <w:rPr>
          <w:lang w:val="en-US"/>
        </w:rPr>
        <w:t xml:space="preserve"> and expert recommendations. Clinical Transplantation [Internet]. 2022 Oct [cited 2025 July 29];36(10). Available from: </w:t>
      </w:r>
      <w:hyperlink r:id="R837b4e5549f34bdc">
        <w:r w:rsidRPr="58D7DABF" w:rsidR="005E0BC2">
          <w:rPr>
            <w:color w:val="1155CC"/>
            <w:u w:val="single"/>
            <w:lang w:val="en-US"/>
          </w:rPr>
          <w:t>https://onlinelibrary.wiley.com/doi/10.1111/ctr.14642</w:t>
        </w:r>
      </w:hyperlink>
    </w:p>
    <w:p w:rsidR="005E0BC2" w:rsidP="58D7DABF" w:rsidRDefault="003A61CD" w14:paraId="2B146635" w14:textId="2B40266D">
      <w:pPr>
        <w:pStyle w:val="ListParagraph"/>
        <w:numPr>
          <w:ilvl w:val="0"/>
          <w:numId w:val="1"/>
        </w:numPr>
        <w:spacing w:after="220" w:line="324" w:lineRule="auto"/>
        <w:rPr>
          <w:lang w:val="en-US"/>
        </w:rPr>
      </w:pPr>
      <w:r w:rsidRPr="58D7DABF" w:rsidR="003A61CD">
        <w:rPr>
          <w:lang w:val="en-US"/>
        </w:rPr>
        <w:t xml:space="preserve">Chu YJ, Zhang H, Jin BX, Liu YF, Yao YX. Effect of total intravenous-based immediate </w:t>
      </w:r>
      <w:r w:rsidRPr="58D7DABF" w:rsidR="003A61CD">
        <w:rPr>
          <w:lang w:val="en-US"/>
        </w:rPr>
        <w:t>extubation</w:t>
      </w:r>
      <w:r w:rsidRPr="58D7DABF" w:rsidR="003A61CD">
        <w:rPr>
          <w:lang w:val="en-US"/>
        </w:rPr>
        <w:t xml:space="preserve"> on patient outcomes in adult liver transplantation: A retrospective cohort study. </w:t>
      </w:r>
      <w:r w:rsidRPr="58D7DABF" w:rsidR="003A61CD">
        <w:rPr>
          <w:lang w:val="en-US"/>
        </w:rPr>
        <w:t>Heliyon</w:t>
      </w:r>
      <w:r w:rsidRPr="58D7DABF" w:rsidR="003A61CD">
        <w:rPr>
          <w:lang w:val="en-US"/>
        </w:rPr>
        <w:t>. 2025 Jan;11(2</w:t>
      </w:r>
      <w:r w:rsidRPr="58D7DABF" w:rsidR="003A61CD">
        <w:rPr>
          <w:lang w:val="en-US"/>
        </w:rPr>
        <w:t>):e</w:t>
      </w:r>
      <w:r w:rsidRPr="58D7DABF" w:rsidR="003A61CD">
        <w:rPr>
          <w:lang w:val="en-US"/>
        </w:rPr>
        <w:t>42108.</w:t>
      </w:r>
    </w:p>
    <w:p w:rsidR="005E0BC2" w:rsidP="58D7DABF" w:rsidRDefault="003A61CD" w14:paraId="0000000A" w14:textId="00A4AE00">
      <w:pPr>
        <w:pStyle w:val="ListParagraph"/>
        <w:numPr>
          <w:ilvl w:val="0"/>
          <w:numId w:val="1"/>
        </w:numPr>
        <w:spacing w:after="220" w:line="324" w:lineRule="auto"/>
        <w:rPr>
          <w:sz w:val="22"/>
          <w:szCs w:val="22"/>
        </w:rPr>
      </w:pPr>
      <w:r w:rsidRPr="58D7DABF" w:rsidR="003A61CD">
        <w:rPr>
          <w:lang w:val="en-US"/>
        </w:rPr>
        <w:t>Lacom</w:t>
      </w:r>
      <w:r w:rsidRPr="58D7DABF" w:rsidR="003A61CD">
        <w:rPr>
          <w:lang w:val="en-US"/>
        </w:rPr>
        <w:t xml:space="preserve"> C, Kothari RP, Mendez NV, Galli A, Roll GR, </w:t>
      </w:r>
      <w:r w:rsidRPr="58D7DABF" w:rsidR="003A61CD">
        <w:rPr>
          <w:lang w:val="en-US"/>
        </w:rPr>
        <w:t>Bokoch</w:t>
      </w:r>
      <w:r w:rsidRPr="58D7DABF" w:rsidR="003A61CD">
        <w:rPr>
          <w:lang w:val="en-US"/>
        </w:rPr>
        <w:t xml:space="preserve"> MP, et al. Safety and Feasibility of Early </w:t>
      </w:r>
      <w:r w:rsidRPr="58D7DABF" w:rsidR="003A61CD">
        <w:rPr>
          <w:lang w:val="en-US"/>
        </w:rPr>
        <w:t>Extubation</w:t>
      </w:r>
      <w:r w:rsidRPr="58D7DABF" w:rsidR="003A61CD">
        <w:rPr>
          <w:lang w:val="en-US"/>
        </w:rPr>
        <w:t xml:space="preserve"> in Liver Transplantation: Experience in 1555 Patients. Transplantation. 2025 Aug;109(8):1393–401.</w:t>
      </w:r>
    </w:p>
    <w:p w:rsidR="005E0BC2" w:rsidRDefault="005E0BC2" w14:paraId="0000000B" w14:textId="77777777">
      <w:pPr>
        <w:spacing w:after="220" w:line="324" w:lineRule="auto"/>
        <w:rPr>
          <w:color w:val="1155CC"/>
          <w:u w:val="single"/>
        </w:rPr>
      </w:pPr>
    </w:p>
    <w:p w:rsidR="005E0BC2" w:rsidRDefault="005E0BC2" w14:paraId="0000000C" w14:textId="77777777"/>
    <w:p w:rsidR="005E0BC2" w:rsidRDefault="005E0BC2" w14:paraId="0000000D" w14:textId="77777777"/>
    <w:sectPr w:rsidR="005E0BC2">
      <w:pgSz w:w="12240" w:h="15840" w:orient="portrait"/>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http://schemas.openxmlformats.org/wordprocessingml/2006/main">
  <w:abstractNum xmlns:w="http://schemas.openxmlformats.org/wordprocessingml/2006/main" w:abstractNumId="1">
    <w:nsid w:val="244eae91"/>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0BC2"/>
    <w:rsid w:val="003A61CD"/>
    <w:rsid w:val="00402225"/>
    <w:rsid w:val="005E0BC2"/>
    <w:rsid w:val="0072063F"/>
    <w:rsid w:val="00E85425"/>
    <w:rsid w:val="44F8A856"/>
    <w:rsid w:val="58D7DAB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2CA5530E"/>
  <w15:docId w15:val="{AFCE79C2-0B8A-3F43-890A-FF7EEF7B19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hAnsi="Arial" w:eastAsia="Arial" w:cs="Arial"/>
        <w:sz w:val="22"/>
        <w:szCs w:val="22"/>
        <w:lang w:val="en"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Normal0" w:customStyle="1">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uiPriority w:val="34"/>
    <w:name w:val="List Paragraph"/>
    <w:basedOn w:val="Normal"/>
    <w:qFormat/>
    <w:rsid w:val="58D7DABF"/>
    <w:pPr>
      <w:spacing/>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customXml" Target="../customXml/item3.xml" Id="rId3"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settings" Target="settings.xml" Id="rId5" /><Relationship Type="http://schemas.openxmlformats.org/officeDocument/2006/relationships/styles" Target="styles.xml" Id="rId4" /><Relationship Type="http://schemas.openxmlformats.org/officeDocument/2006/relationships/theme" Target="theme/theme1.xml" Id="rId9" /><Relationship Type="http://schemas.openxmlformats.org/officeDocument/2006/relationships/hyperlink" Target="https://onlinelibrary.wiley.com/doi/10.1111/ctr.14642" TargetMode="External" Id="R837b4e5549f34bdc" /><Relationship Type="http://schemas.openxmlformats.org/officeDocument/2006/relationships/numbering" Target="numbering.xml" Id="Ra466dbde6ec14c06"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D097D6B675AF34D9FCBF20A3775A223" ma:contentTypeVersion="6" ma:contentTypeDescription="Create a new document." ma:contentTypeScope="" ma:versionID="38995a063970a75c27e08392df1f2be8">
  <xsd:schema xmlns:xsd="http://www.w3.org/2001/XMLSchema" xmlns:xs="http://www.w3.org/2001/XMLSchema" xmlns:p="http://schemas.microsoft.com/office/2006/metadata/properties" xmlns:ns2="585afff9-8319-4eb5-abf2-113748625117" xmlns:ns3="bf988a31-5909-44c6-a48e-b7c8f1d6bcaf" targetNamespace="http://schemas.microsoft.com/office/2006/metadata/properties" ma:root="true" ma:fieldsID="74a8e18255f930e55b9dd0c99f06b96a" ns2:_="" ns3:_="">
    <xsd:import namespace="585afff9-8319-4eb5-abf2-113748625117"/>
    <xsd:import namespace="bf988a31-5909-44c6-a48e-b7c8f1d6bcaf"/>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85afff9-8319-4eb5-abf2-11374862511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f988a31-5909-44c6-a48e-b7c8f1d6bca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2C6D62D-A221-4033-93BE-801214C2439E}">
  <ds:schemaRefs>
    <ds:schemaRef ds:uri="http://schemas.microsoft.com/sharepoint/v3/contenttype/forms"/>
  </ds:schemaRefs>
</ds:datastoreItem>
</file>

<file path=customXml/itemProps2.xml><?xml version="1.0" encoding="utf-8"?>
<ds:datastoreItem xmlns:ds="http://schemas.openxmlformats.org/officeDocument/2006/customXml" ds:itemID="{736CC9D9-F80E-41C8-8701-80768392715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85afff9-8319-4eb5-abf2-113748625117"/>
    <ds:schemaRef ds:uri="bf988a31-5909-44c6-a48e-b7c8f1d6bca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59ED3FA-F360-46B2-91AA-1824A4AF5B4D}">
  <ds:schemaRefs>
    <ds:schemaRef ds:uri="http://schemas.microsoft.com/office/2006/metadata/properties"/>
    <ds:schemaRef ds:uri="http://schemas.microsoft.com/office/infopath/2007/PartnerControl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lastModifiedBy>WELLS, Gemma (LONDON NORTH WEST UNIVERSITY HEALTHCARE NHS TRUST)</lastModifiedBy>
  <revision>4</revision>
  <dcterms:created xsi:type="dcterms:W3CDTF">2025-08-15T10:55:00.0000000Z</dcterms:created>
  <dcterms:modified xsi:type="dcterms:W3CDTF">2025-08-15T10:56:38.7666198Z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0x0101004D097D6B675AF34D9FCBF20A3775A223</vt:lpwstr>
  </property>
</Properties>
</file>