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F5BAC" w:rsidP="37616C3F" w:rsidRDefault="007535C4" w14:paraId="00000001" w14:textId="0B89703A">
      <w:pPr>
        <w:rPr>
          <w:b w:val="1"/>
          <w:bCs w:val="1"/>
        </w:rPr>
      </w:pPr>
      <w:r w:rsidRPr="37616C3F" w:rsidR="007535C4">
        <w:rPr>
          <w:b w:val="1"/>
          <w:bCs w:val="1"/>
        </w:rPr>
        <w:t xml:space="preserve">Background </w:t>
      </w:r>
      <w:r w:rsidRPr="37616C3F" w:rsidR="687DE5BF">
        <w:rPr>
          <w:b w:val="1"/>
          <w:bCs w:val="1"/>
        </w:rPr>
        <w:t>to</w:t>
      </w:r>
      <w:r w:rsidRPr="37616C3F" w:rsidR="007535C4">
        <w:rPr>
          <w:b w:val="1"/>
          <w:bCs w:val="1"/>
        </w:rPr>
        <w:t xml:space="preserve"> liver transplant ERAS</w:t>
      </w:r>
    </w:p>
    <w:p w:rsidR="00BF5BAC" w:rsidRDefault="007535C4" w14:paraId="00000002" w14:textId="6E495A5B">
      <w:pPr>
        <w:spacing w:before="240" w:after="240"/>
      </w:pPr>
      <w:r w:rsidR="007535C4">
        <w:rPr/>
        <w:t xml:space="preserve">Enhanced Recovery After Surgery (ERAS) protocols have been implemented across a wide range of surgical specialties, with growing interest in their application to elective liver </w:t>
      </w:r>
      <w:r w:rsidR="007535C4">
        <w:rPr/>
        <w:t xml:space="preserve">transplantation in recent years. In 2022, the ERAS Society published guidelines for an ERAS approach to liver transplantation. That same year, the ERAS4OLT </w:t>
      </w:r>
      <w:r w:rsidR="2815D951">
        <w:rPr/>
        <w:t>collaborative</w:t>
      </w:r>
      <w:r w:rsidR="007535C4">
        <w:rPr/>
        <w:t>, in collaboration with the International Liver Transplantation Society, released a series of comprehensive systematic reviews covering key perioperative domains. These reviews were accompanied by expert panel recommendations and consensus statements to guide clinical practice.</w:t>
      </w:r>
    </w:p>
    <w:p w:rsidR="00BF5BAC" w:rsidRDefault="007535C4" w14:paraId="00000003" w14:textId="6C17F577">
      <w:pPr>
        <w:spacing w:before="240" w:after="240"/>
      </w:pPr>
      <w:r w:rsidRPr="1BEAFAD7">
        <w:rPr>
          <w:lang w:val="en-US"/>
        </w:rPr>
        <w:t>Several liver transplant centres across the United Kingdom have already begun to discuss or implement ERAS protocols tailored to their institution and patient populations. In developing our guidelines, we drew upon the evidence base provided by the ERAS4OLT systematic reviews and consensus statements. These were integrated with existing protocols submitted by UK transplant centres, and adapted as necessary to support broader uptake and local implementation. To reflect variability in local infrastructure and</w:t>
      </w:r>
      <w:r w:rsidRPr="1BEAFAD7">
        <w:rPr>
          <w:lang w:val="en-US"/>
        </w:rPr>
        <w:t xml:space="preserve"> readiness, each section of this guideline is divided into </w:t>
      </w:r>
      <w:r w:rsidRPr="1BEAFAD7">
        <w:rPr>
          <w:b/>
          <w:bCs/>
          <w:lang w:val="en-US"/>
        </w:rPr>
        <w:t>core</w:t>
      </w:r>
      <w:r w:rsidRPr="1BEAFAD7">
        <w:rPr>
          <w:lang w:val="en-US"/>
        </w:rPr>
        <w:t xml:space="preserve"> and </w:t>
      </w:r>
      <w:r w:rsidRPr="1BEAFAD7">
        <w:rPr>
          <w:b/>
          <w:bCs/>
          <w:lang w:val="en-US"/>
        </w:rPr>
        <w:t>desirable</w:t>
      </w:r>
      <w:r w:rsidRPr="1BEAFAD7">
        <w:rPr>
          <w:lang w:val="en-US"/>
        </w:rPr>
        <w:t xml:space="preserve"> elements. This framework is designed to enable centres to adopt a phased approach, starting with core </w:t>
      </w:r>
      <w:r w:rsidRPr="1BEAFAD7" w:rsidR="0035371B">
        <w:rPr>
          <w:lang w:val="en-US"/>
        </w:rPr>
        <w:t>elements</w:t>
      </w:r>
      <w:r w:rsidRPr="1BEAFAD7">
        <w:rPr>
          <w:lang w:val="en-US"/>
        </w:rPr>
        <w:t xml:space="preserve"> and expanding implementation over time as experience and investment grow.</w:t>
      </w:r>
    </w:p>
    <w:p w:rsidR="00BF5BAC" w:rsidRDefault="007535C4" w14:paraId="00000004" w14:textId="735DF341">
      <w:pPr>
        <w:spacing w:before="240" w:after="240"/>
        <w:rPr>
          <w:b/>
        </w:rPr>
      </w:pPr>
      <w:r>
        <w:rPr>
          <w:b/>
        </w:rPr>
        <w:t>Patient Selection</w:t>
      </w:r>
    </w:p>
    <w:p w:rsidR="00BF5BAC" w:rsidRDefault="007535C4" w14:paraId="00000005" w14:textId="77777777">
      <w:pPr>
        <w:spacing w:before="240" w:after="240"/>
      </w:pPr>
      <w:r w:rsidRPr="1BEAFAD7">
        <w:rPr>
          <w:lang w:val="en-US"/>
        </w:rPr>
        <w:t>Patient populations awaiting liver transplantation are heterogeneous, encompassing a broad spectrum of physiological reserve, frailty, and comorbidities. Many of the existing studies on ERAS in liver transplantation have focused on relatively fitter individuals, typically with lower MELD scores, and with a large proportion listed for oncological indications rather than decompensated cirrhosis. Accordingly, the evidence supporting ERAS interventions is strongest within this subgroup.</w:t>
      </w:r>
    </w:p>
    <w:p w:rsidR="00BF5BAC" w:rsidRDefault="007535C4" w14:paraId="00000006" w14:textId="284B54B3">
      <w:pPr>
        <w:spacing w:before="240" w:after="240"/>
      </w:pPr>
      <w:r w:rsidRPr="1BEAFAD7">
        <w:rPr>
          <w:lang w:val="en-US"/>
        </w:rPr>
        <w:t xml:space="preserve">However, patients with higher levels of frailty and deconditioning arguably stand to gain the most from ERAS strategies, </w:t>
      </w:r>
      <w:r w:rsidRPr="1BEAFAD7" w:rsidR="0035371B">
        <w:rPr>
          <w:lang w:val="en-US"/>
        </w:rPr>
        <w:t>given the focus on</w:t>
      </w:r>
      <w:r w:rsidRPr="1BEAFAD7">
        <w:rPr>
          <w:lang w:val="en-US"/>
        </w:rPr>
        <w:t xml:space="preserve"> preoperative optimisation</w:t>
      </w:r>
      <w:r w:rsidRPr="1BEAFAD7" w:rsidR="0035371B">
        <w:rPr>
          <w:lang w:val="en-US"/>
        </w:rPr>
        <w:t xml:space="preserve"> and r</w:t>
      </w:r>
      <w:r w:rsidRPr="1BEAFAD7">
        <w:rPr>
          <w:lang w:val="en-US"/>
        </w:rPr>
        <w:t>eduction of postoperative complications and length of stay. We therefore advocate for the introduction of ERAS principles to all patients on the liver transplant waiting list, acknowledging that not every component may be feasible for every patient.</w:t>
      </w:r>
    </w:p>
    <w:p w:rsidR="00BF5BAC" w:rsidRDefault="007535C4" w14:paraId="00000007" w14:textId="77777777">
      <w:pPr>
        <w:spacing w:before="240" w:after="240"/>
      </w:pPr>
      <w:r w:rsidRPr="37616C3F" w:rsidR="007535C4">
        <w:rPr>
          <w:lang w:val="en-US"/>
        </w:rPr>
        <w:t>Where patient selection is required for logistical or resource-related reasons, we recommend that centres apply validated risk stratification tools, such as those predicting postoperative morbidity or mortality, at their discretion as part of the transplant assessment process.</w:t>
      </w:r>
    </w:p>
    <w:p w:rsidR="37616C3F" w:rsidP="37616C3F" w:rsidRDefault="37616C3F" w14:paraId="5D628FEC" w14:textId="55BE97BE">
      <w:pPr>
        <w:pStyle w:val="Normal"/>
        <w:spacing w:before="240" w:after="240"/>
        <w:rPr>
          <w:b w:val="1"/>
          <w:bCs w:val="1"/>
        </w:rPr>
      </w:pPr>
    </w:p>
    <w:p w:rsidR="37616C3F" w:rsidP="37616C3F" w:rsidRDefault="37616C3F" w14:paraId="0984A387" w14:textId="53E9D201">
      <w:pPr>
        <w:pStyle w:val="Normal"/>
        <w:spacing w:before="240" w:after="240"/>
        <w:rPr>
          <w:b w:val="1"/>
          <w:bCs w:val="1"/>
        </w:rPr>
      </w:pPr>
    </w:p>
    <w:p w:rsidR="5B5DBA12" w:rsidP="37616C3F" w:rsidRDefault="5B5DBA12" w14:paraId="3D9095BF" w14:textId="4F518DC7">
      <w:pPr>
        <w:pStyle w:val="Normal"/>
        <w:spacing w:before="240" w:after="240"/>
      </w:pPr>
      <w:r w:rsidRPr="37616C3F" w:rsidR="5B5DBA12">
        <w:rPr>
          <w:b w:val="1"/>
          <w:bCs w:val="1"/>
        </w:rPr>
        <w:t>Bibliography</w:t>
      </w:r>
    </w:p>
    <w:p w:rsidR="7B19A907" w:rsidP="37616C3F" w:rsidRDefault="7B19A907" w14:paraId="5D772FED" w14:textId="63D9DCA8">
      <w:pPr>
        <w:numPr>
          <w:ilvl w:val="0"/>
          <w:numId w:val="1"/>
        </w:numPr>
        <w:spacing w:after="240"/>
        <w:rPr>
          <w:sz w:val="22"/>
          <w:szCs w:val="22"/>
        </w:rPr>
      </w:pPr>
      <w:r w:rsidRPr="37616C3F" w:rsidR="7B19A907">
        <w:rPr>
          <w:rFonts w:ascii="Arial" w:hAnsi="Arial" w:eastAsia="Arial" w:cs="Arial"/>
          <w:noProof w:val="0"/>
          <w:color w:val="000000" w:themeColor="text1" w:themeTint="FF" w:themeShade="FF"/>
          <w:sz w:val="22"/>
          <w:szCs w:val="22"/>
          <w:lang w:val="en-US"/>
        </w:rPr>
        <w:t xml:space="preserve">Katsanos G, </w:t>
      </w:r>
      <w:r w:rsidRPr="37616C3F" w:rsidR="7B19A907">
        <w:rPr>
          <w:rFonts w:ascii="Arial" w:hAnsi="Arial" w:eastAsia="Arial" w:cs="Arial"/>
          <w:noProof w:val="0"/>
          <w:color w:val="000000" w:themeColor="text1" w:themeTint="FF" w:themeShade="FF"/>
          <w:sz w:val="22"/>
          <w:szCs w:val="22"/>
          <w:lang w:val="en-US"/>
        </w:rPr>
        <w:t>Karakasi</w:t>
      </w:r>
      <w:r w:rsidRPr="37616C3F" w:rsidR="7B19A907">
        <w:rPr>
          <w:rFonts w:ascii="Arial" w:hAnsi="Arial" w:eastAsia="Arial" w:cs="Arial"/>
          <w:noProof w:val="0"/>
          <w:color w:val="000000" w:themeColor="text1" w:themeTint="FF" w:themeShade="FF"/>
          <w:sz w:val="22"/>
          <w:szCs w:val="22"/>
          <w:lang w:val="en-US"/>
        </w:rPr>
        <w:t xml:space="preserve"> KE, Antoniadis N, Vasileiadou S, </w:t>
      </w:r>
      <w:r w:rsidRPr="37616C3F" w:rsidR="7B19A907">
        <w:rPr>
          <w:rFonts w:ascii="Arial" w:hAnsi="Arial" w:eastAsia="Arial" w:cs="Arial"/>
          <w:noProof w:val="0"/>
          <w:color w:val="000000" w:themeColor="text1" w:themeTint="FF" w:themeShade="FF"/>
          <w:sz w:val="22"/>
          <w:szCs w:val="22"/>
          <w:lang w:val="en-US"/>
        </w:rPr>
        <w:t>Kofinas</w:t>
      </w:r>
      <w:r w:rsidRPr="37616C3F" w:rsidR="7B19A907">
        <w:rPr>
          <w:rFonts w:ascii="Arial" w:hAnsi="Arial" w:eastAsia="Arial" w:cs="Arial"/>
          <w:noProof w:val="0"/>
          <w:color w:val="000000" w:themeColor="text1" w:themeTint="FF" w:themeShade="FF"/>
          <w:sz w:val="22"/>
          <w:szCs w:val="22"/>
          <w:lang w:val="en-US"/>
        </w:rPr>
        <w:t xml:space="preserve"> A, Morsi-</w:t>
      </w:r>
      <w:r w:rsidRPr="37616C3F" w:rsidR="7B19A907">
        <w:rPr>
          <w:rFonts w:ascii="Arial" w:hAnsi="Arial" w:eastAsia="Arial" w:cs="Arial"/>
          <w:noProof w:val="0"/>
          <w:color w:val="000000" w:themeColor="text1" w:themeTint="FF" w:themeShade="FF"/>
          <w:sz w:val="22"/>
          <w:szCs w:val="22"/>
          <w:lang w:val="en-US"/>
        </w:rPr>
        <w:t>Yeroyannis</w:t>
      </w:r>
      <w:r w:rsidRPr="37616C3F" w:rsidR="7B19A907">
        <w:rPr>
          <w:rFonts w:ascii="Arial" w:hAnsi="Arial" w:eastAsia="Arial" w:cs="Arial"/>
          <w:noProof w:val="0"/>
          <w:color w:val="000000" w:themeColor="text1" w:themeTint="FF" w:themeShade="FF"/>
          <w:sz w:val="22"/>
          <w:szCs w:val="22"/>
          <w:lang w:val="en-US"/>
        </w:rPr>
        <w:t xml:space="preserve"> A, et al. Enhanced recovery after surgery in liver transplantation: Challenges and feasibility. World J Transplant. 2022 July 18;12(7):195–203.</w:t>
      </w:r>
    </w:p>
    <w:p w:rsidR="7B19A907" w:rsidP="37616C3F" w:rsidRDefault="7B19A907" w14:paraId="1F837BA8" w14:textId="731E9D5E">
      <w:pPr>
        <w:numPr>
          <w:ilvl w:val="0"/>
          <w:numId w:val="1"/>
        </w:numPr>
        <w:spacing w:after="240"/>
        <w:rPr>
          <w:rFonts w:ascii="Arial" w:hAnsi="Arial" w:eastAsia="Arial" w:cs="Arial"/>
          <w:noProof w:val="0"/>
          <w:color w:val="000000" w:themeColor="text1" w:themeTint="FF" w:themeShade="FF"/>
          <w:sz w:val="22"/>
          <w:szCs w:val="22"/>
          <w:lang w:val="en-US"/>
        </w:rPr>
      </w:pPr>
      <w:r w:rsidRPr="37616C3F" w:rsidR="7B19A907">
        <w:rPr>
          <w:rFonts w:ascii="Arial" w:hAnsi="Arial" w:eastAsia="Arial" w:cs="Arial"/>
          <w:noProof w:val="0"/>
          <w:color w:val="000000" w:themeColor="text1" w:themeTint="FF" w:themeShade="FF"/>
          <w:sz w:val="22"/>
          <w:szCs w:val="22"/>
          <w:lang w:val="en-US"/>
        </w:rPr>
        <w:t xml:space="preserve">Tinguely P, </w:t>
      </w:r>
      <w:r w:rsidRPr="37616C3F" w:rsidR="7B19A907">
        <w:rPr>
          <w:rFonts w:ascii="Arial" w:hAnsi="Arial" w:eastAsia="Arial" w:cs="Arial"/>
          <w:noProof w:val="0"/>
          <w:color w:val="000000" w:themeColor="text1" w:themeTint="FF" w:themeShade="FF"/>
          <w:sz w:val="22"/>
          <w:szCs w:val="22"/>
          <w:lang w:val="en-US"/>
        </w:rPr>
        <w:t>Morare</w:t>
      </w:r>
      <w:r w:rsidRPr="37616C3F" w:rsidR="7B19A907">
        <w:rPr>
          <w:rFonts w:ascii="Arial" w:hAnsi="Arial" w:eastAsia="Arial" w:cs="Arial"/>
          <w:noProof w:val="0"/>
          <w:color w:val="000000" w:themeColor="text1" w:themeTint="FF" w:themeShade="FF"/>
          <w:sz w:val="22"/>
          <w:szCs w:val="22"/>
          <w:lang w:val="en-US"/>
        </w:rPr>
        <w:t xml:space="preserve"> N, Ramirez‐Del Val A, Berenguer M, Niemann CU, Pollok JM, et al. Enhanced recovery after surgery programs improve short‐term outcomes after liver transplantation–A systematic review and meta‐analysis. Clinical Transplantation [Internet]. 2021 Nov [cited 2025 Aug 15];35(11). Available from: </w:t>
      </w:r>
      <w:hyperlink r:id="Raf3a634a63044468">
        <w:r w:rsidRPr="37616C3F" w:rsidR="7B19A907">
          <w:rPr>
            <w:rStyle w:val="Hyperlink"/>
            <w:rFonts w:ascii="Arial" w:hAnsi="Arial" w:eastAsia="Arial" w:cs="Arial"/>
            <w:noProof w:val="0"/>
            <w:color w:val="000000" w:themeColor="text1" w:themeTint="FF" w:themeShade="FF"/>
            <w:sz w:val="22"/>
            <w:szCs w:val="22"/>
            <w:lang w:val="en-US"/>
          </w:rPr>
          <w:t>https://onlinelibrary.wiley.com/doi/10.1111/ctr.14453</w:t>
        </w:r>
      </w:hyperlink>
    </w:p>
    <w:p w:rsidR="7B19A907" w:rsidP="37616C3F" w:rsidRDefault="7B19A907" w14:paraId="7348B10D" w14:textId="1A2EA702">
      <w:pPr>
        <w:numPr>
          <w:ilvl w:val="0"/>
          <w:numId w:val="1"/>
        </w:numPr>
        <w:spacing w:after="240"/>
        <w:rPr>
          <w:rFonts w:ascii="Arial" w:hAnsi="Arial" w:eastAsia="Arial" w:cs="Arial"/>
          <w:noProof w:val="0"/>
          <w:color w:val="000000" w:themeColor="text1" w:themeTint="FF" w:themeShade="FF"/>
          <w:sz w:val="22"/>
          <w:szCs w:val="22"/>
          <w:lang w:val="en-US"/>
        </w:rPr>
      </w:pPr>
      <w:r w:rsidRPr="37616C3F" w:rsidR="7B19A907">
        <w:rPr>
          <w:rFonts w:ascii="Arial" w:hAnsi="Arial" w:eastAsia="Arial" w:cs="Arial"/>
          <w:noProof w:val="0"/>
          <w:color w:val="000000" w:themeColor="text1" w:themeTint="FF" w:themeShade="FF"/>
          <w:sz w:val="22"/>
          <w:szCs w:val="22"/>
          <w:lang w:val="en-US"/>
        </w:rPr>
        <w:t xml:space="preserve">Pollok JM, Tinguely P, Berenguer M, Niemann CU, Raptis DA, Spiro M, et al. Enhanced recovery for liver transplantation: recommendations from the 2022 International Liver Transplantation Society consensus conference. </w:t>
      </w:r>
      <w:r w:rsidRPr="37616C3F" w:rsidR="7B19A907">
        <w:rPr>
          <w:rFonts w:ascii="Arial" w:hAnsi="Arial" w:eastAsia="Arial" w:cs="Arial"/>
          <w:noProof w:val="0"/>
          <w:color w:val="000000" w:themeColor="text1" w:themeTint="FF" w:themeShade="FF"/>
          <w:sz w:val="22"/>
          <w:szCs w:val="22"/>
          <w:lang w:val="en-US"/>
        </w:rPr>
        <w:t>The Lancet</w:t>
      </w:r>
      <w:r w:rsidRPr="37616C3F" w:rsidR="7B19A907">
        <w:rPr>
          <w:rFonts w:ascii="Arial" w:hAnsi="Arial" w:eastAsia="Arial" w:cs="Arial"/>
          <w:noProof w:val="0"/>
          <w:color w:val="000000" w:themeColor="text1" w:themeTint="FF" w:themeShade="FF"/>
          <w:sz w:val="22"/>
          <w:szCs w:val="22"/>
          <w:lang w:val="en-US"/>
        </w:rPr>
        <w:t xml:space="preserve"> Gastroenterology &amp; Hepatology. 2023 Jan;8(1):81–94.</w:t>
      </w:r>
    </w:p>
    <w:p w:rsidR="7B19A907" w:rsidP="37616C3F" w:rsidRDefault="7B19A907" w14:paraId="4894535A" w14:textId="5894625B">
      <w:pPr>
        <w:numPr>
          <w:ilvl w:val="0"/>
          <w:numId w:val="1"/>
        </w:numPr>
        <w:spacing w:after="240"/>
        <w:rPr>
          <w:sz w:val="22"/>
          <w:szCs w:val="22"/>
        </w:rPr>
      </w:pPr>
      <w:r w:rsidRPr="37616C3F" w:rsidR="7B19A907">
        <w:rPr>
          <w:rFonts w:ascii="Arial" w:hAnsi="Arial" w:eastAsia="Arial" w:cs="Arial"/>
          <w:noProof w:val="0"/>
          <w:color w:val="000000" w:themeColor="text1" w:themeTint="FF" w:themeShade="FF"/>
          <w:sz w:val="22"/>
          <w:szCs w:val="22"/>
          <w:lang w:val="en-US"/>
        </w:rPr>
        <w:t>Brustia</w:t>
      </w:r>
      <w:r w:rsidRPr="37616C3F" w:rsidR="7B19A907">
        <w:rPr>
          <w:rFonts w:ascii="Arial" w:hAnsi="Arial" w:eastAsia="Arial" w:cs="Arial"/>
          <w:noProof w:val="0"/>
          <w:color w:val="000000" w:themeColor="text1" w:themeTint="FF" w:themeShade="FF"/>
          <w:sz w:val="22"/>
          <w:szCs w:val="22"/>
          <w:lang w:val="en-US"/>
        </w:rPr>
        <w:t xml:space="preserve"> R, </w:t>
      </w:r>
      <w:r w:rsidRPr="37616C3F" w:rsidR="7B19A907">
        <w:rPr>
          <w:rFonts w:ascii="Arial" w:hAnsi="Arial" w:eastAsia="Arial" w:cs="Arial"/>
          <w:noProof w:val="0"/>
          <w:color w:val="000000" w:themeColor="text1" w:themeTint="FF" w:themeShade="FF"/>
          <w:sz w:val="22"/>
          <w:szCs w:val="22"/>
          <w:lang w:val="en-US"/>
        </w:rPr>
        <w:t>Monsel</w:t>
      </w:r>
      <w:r w:rsidRPr="37616C3F" w:rsidR="7B19A907">
        <w:rPr>
          <w:rFonts w:ascii="Arial" w:hAnsi="Arial" w:eastAsia="Arial" w:cs="Arial"/>
          <w:noProof w:val="0"/>
          <w:color w:val="000000" w:themeColor="text1" w:themeTint="FF" w:themeShade="FF"/>
          <w:sz w:val="22"/>
          <w:szCs w:val="22"/>
          <w:lang w:val="en-US"/>
        </w:rPr>
        <w:t xml:space="preserve"> A, </w:t>
      </w:r>
      <w:r w:rsidRPr="37616C3F" w:rsidR="7B19A907">
        <w:rPr>
          <w:rFonts w:ascii="Arial" w:hAnsi="Arial" w:eastAsia="Arial" w:cs="Arial"/>
          <w:noProof w:val="0"/>
          <w:color w:val="000000" w:themeColor="text1" w:themeTint="FF" w:themeShade="FF"/>
          <w:sz w:val="22"/>
          <w:szCs w:val="22"/>
          <w:lang w:val="en-US"/>
        </w:rPr>
        <w:t>Skurzak</w:t>
      </w:r>
      <w:r w:rsidRPr="37616C3F" w:rsidR="7B19A907">
        <w:rPr>
          <w:rFonts w:ascii="Arial" w:hAnsi="Arial" w:eastAsia="Arial" w:cs="Arial"/>
          <w:noProof w:val="0"/>
          <w:color w:val="000000" w:themeColor="text1" w:themeTint="FF" w:themeShade="FF"/>
          <w:sz w:val="22"/>
          <w:szCs w:val="22"/>
          <w:lang w:val="en-US"/>
        </w:rPr>
        <w:t xml:space="preserve"> S, Schiffer E, Carrier FM, </w:t>
      </w:r>
      <w:r w:rsidRPr="37616C3F" w:rsidR="7B19A907">
        <w:rPr>
          <w:rFonts w:ascii="Arial" w:hAnsi="Arial" w:eastAsia="Arial" w:cs="Arial"/>
          <w:noProof w:val="0"/>
          <w:color w:val="000000" w:themeColor="text1" w:themeTint="FF" w:themeShade="FF"/>
          <w:sz w:val="22"/>
          <w:szCs w:val="22"/>
          <w:lang w:val="en-US"/>
        </w:rPr>
        <w:t>Patrono</w:t>
      </w:r>
      <w:r w:rsidRPr="37616C3F" w:rsidR="7B19A907">
        <w:rPr>
          <w:rFonts w:ascii="Arial" w:hAnsi="Arial" w:eastAsia="Arial" w:cs="Arial"/>
          <w:noProof w:val="0"/>
          <w:color w:val="000000" w:themeColor="text1" w:themeTint="FF" w:themeShade="FF"/>
          <w:sz w:val="22"/>
          <w:szCs w:val="22"/>
          <w:lang w:val="en-US"/>
        </w:rPr>
        <w:t xml:space="preserve"> D, et al. Guidelines for Perioperative Care for Liver Transplantation: Enhanced Recovery After Surgery (ERAS) Recommendations. Transplantation. 2022 Mar;106(3):552–61.</w:t>
      </w:r>
    </w:p>
    <w:p w:rsidR="7B19A907" w:rsidP="37616C3F" w:rsidRDefault="7B19A907" w14:paraId="7796351D" w14:textId="7039C0FE">
      <w:pPr>
        <w:numPr>
          <w:ilvl w:val="0"/>
          <w:numId w:val="1"/>
        </w:numPr>
        <w:spacing w:after="240"/>
        <w:rPr>
          <w:sz w:val="22"/>
          <w:szCs w:val="22"/>
        </w:rPr>
      </w:pPr>
      <w:r w:rsidRPr="37616C3F" w:rsidR="7B19A907">
        <w:rPr>
          <w:rFonts w:ascii="Arial" w:hAnsi="Arial" w:eastAsia="Arial" w:cs="Arial"/>
          <w:noProof w:val="0"/>
          <w:color w:val="000000" w:themeColor="text1" w:themeTint="FF" w:themeShade="FF"/>
          <w:sz w:val="22"/>
          <w:szCs w:val="22"/>
          <w:lang w:val="en-US"/>
        </w:rPr>
        <w:t xml:space="preserve">Crespo G, Hessheimer AJ, Armstrong MJ, </w:t>
      </w:r>
      <w:r w:rsidRPr="37616C3F" w:rsidR="7B19A907">
        <w:rPr>
          <w:rFonts w:ascii="Arial" w:hAnsi="Arial" w:eastAsia="Arial" w:cs="Arial"/>
          <w:noProof w:val="0"/>
          <w:color w:val="000000" w:themeColor="text1" w:themeTint="FF" w:themeShade="FF"/>
          <w:sz w:val="22"/>
          <w:szCs w:val="22"/>
          <w:lang w:val="en-US"/>
        </w:rPr>
        <w:t>Berzigotti</w:t>
      </w:r>
      <w:r w:rsidRPr="37616C3F" w:rsidR="7B19A907">
        <w:rPr>
          <w:rFonts w:ascii="Arial" w:hAnsi="Arial" w:eastAsia="Arial" w:cs="Arial"/>
          <w:noProof w:val="0"/>
          <w:color w:val="000000" w:themeColor="text1" w:themeTint="FF" w:themeShade="FF"/>
          <w:sz w:val="22"/>
          <w:szCs w:val="22"/>
          <w:lang w:val="en-US"/>
        </w:rPr>
        <w:t xml:space="preserve"> A, </w:t>
      </w:r>
      <w:r w:rsidRPr="37616C3F" w:rsidR="7B19A907">
        <w:rPr>
          <w:rFonts w:ascii="Arial" w:hAnsi="Arial" w:eastAsia="Arial" w:cs="Arial"/>
          <w:noProof w:val="0"/>
          <w:color w:val="000000" w:themeColor="text1" w:themeTint="FF" w:themeShade="FF"/>
          <w:sz w:val="22"/>
          <w:szCs w:val="22"/>
          <w:lang w:val="en-US"/>
        </w:rPr>
        <w:t>Monbaliu</w:t>
      </w:r>
      <w:r w:rsidRPr="37616C3F" w:rsidR="7B19A907">
        <w:rPr>
          <w:rFonts w:ascii="Arial" w:hAnsi="Arial" w:eastAsia="Arial" w:cs="Arial"/>
          <w:noProof w:val="0"/>
          <w:color w:val="000000" w:themeColor="text1" w:themeTint="FF" w:themeShade="FF"/>
          <w:sz w:val="22"/>
          <w:szCs w:val="22"/>
          <w:lang w:val="en-US"/>
        </w:rPr>
        <w:t xml:space="preserve"> D, Spiro M, et al. Which preoperative assessment modalities best </w:t>
      </w:r>
      <w:r w:rsidRPr="37616C3F" w:rsidR="7B19A907">
        <w:rPr>
          <w:rFonts w:ascii="Arial" w:hAnsi="Arial" w:eastAsia="Arial" w:cs="Arial"/>
          <w:noProof w:val="0"/>
          <w:color w:val="000000" w:themeColor="text1" w:themeTint="FF" w:themeShade="FF"/>
          <w:sz w:val="22"/>
          <w:szCs w:val="22"/>
          <w:lang w:val="en-US"/>
        </w:rPr>
        <w:t>identify</w:t>
      </w:r>
      <w:r w:rsidRPr="37616C3F" w:rsidR="7B19A907">
        <w:rPr>
          <w:rFonts w:ascii="Arial" w:hAnsi="Arial" w:eastAsia="Arial" w:cs="Arial"/>
          <w:noProof w:val="0"/>
          <w:color w:val="000000" w:themeColor="text1" w:themeTint="FF" w:themeShade="FF"/>
          <w:sz w:val="22"/>
          <w:szCs w:val="22"/>
          <w:lang w:val="en-US"/>
        </w:rPr>
        <w:t xml:space="preserve"> patients who are suitable for enhanced recovery after liver transplantation? A systematic review of the literature and expert panel recommendations. Clinical Transplantation [Internet]. 2022 Oct [cited 2025 Aug 15];36(10). Available from: </w:t>
      </w:r>
      <w:hyperlink r:id="Rf6998002f23f4c2b">
        <w:r w:rsidRPr="37616C3F" w:rsidR="7B19A907">
          <w:rPr>
            <w:rStyle w:val="Hyperlink"/>
            <w:rFonts w:ascii="Arial" w:hAnsi="Arial" w:eastAsia="Arial" w:cs="Arial"/>
            <w:noProof w:val="0"/>
            <w:color w:val="000000" w:themeColor="text1" w:themeTint="FF" w:themeShade="FF"/>
            <w:sz w:val="22"/>
            <w:szCs w:val="22"/>
            <w:lang w:val="en-US"/>
          </w:rPr>
          <w:t>https://onlinelibrary.wiley.com/doi/10.1111/ctr.14644</w:t>
        </w:r>
      </w:hyperlink>
    </w:p>
    <w:p w:rsidR="00BF5BAC" w:rsidRDefault="00BF5BAC" w14:paraId="00000011" w14:textId="77777777"/>
    <w:p w:rsidR="00BF5BAC" w:rsidRDefault="00BF5BAC" w14:paraId="00000012" w14:textId="77777777"/>
    <w:sectPr w:rsidR="00BF5BAC">
      <w:pgSz w:w="12240" w:h="15840" w:orient="portrait"/>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9">
    <w:nsid w:val="71bdd68f"/>
    <w:multiLevelType xmlns:w="http://schemas.openxmlformats.org/wordprocessingml/2006/main" w:val="hybridMultilevel"/>
    <w:lvl xmlns:w="http://schemas.openxmlformats.org/wordprocessingml/2006/main" w:ilvl="0">
      <w:start w:val="1"/>
      <w:numFmt w:val="decimal"/>
      <w:lvlText w:val="%1."/>
      <w:lvlJc w:val="left"/>
      <w:pPr>
        <w:ind w:left="690" w:hanging="360"/>
      </w:pPr>
    </w:lvl>
    <w:lvl xmlns:w="http://schemas.openxmlformats.org/wordprocessingml/2006/main" w:ilvl="1">
      <w:start w:val="1"/>
      <w:numFmt w:val="lowerLetter"/>
      <w:lvlText w:val="%2."/>
      <w:lvlJc w:val="left"/>
      <w:pPr>
        <w:ind w:left="1410" w:hanging="360"/>
      </w:pPr>
    </w:lvl>
    <w:lvl xmlns:w="http://schemas.openxmlformats.org/wordprocessingml/2006/main" w:ilvl="2">
      <w:start w:val="1"/>
      <w:numFmt w:val="lowerRoman"/>
      <w:lvlText w:val="%3."/>
      <w:lvlJc w:val="right"/>
      <w:pPr>
        <w:ind w:left="2130" w:hanging="180"/>
      </w:pPr>
    </w:lvl>
    <w:lvl xmlns:w="http://schemas.openxmlformats.org/wordprocessingml/2006/main" w:ilvl="3">
      <w:start w:val="1"/>
      <w:numFmt w:val="decimal"/>
      <w:lvlText w:val="%4."/>
      <w:lvlJc w:val="left"/>
      <w:pPr>
        <w:ind w:left="2850" w:hanging="360"/>
      </w:pPr>
    </w:lvl>
    <w:lvl xmlns:w="http://schemas.openxmlformats.org/wordprocessingml/2006/main" w:ilvl="4">
      <w:start w:val="1"/>
      <w:numFmt w:val="lowerLetter"/>
      <w:lvlText w:val="%5."/>
      <w:lvlJc w:val="left"/>
      <w:pPr>
        <w:ind w:left="3570" w:hanging="360"/>
      </w:pPr>
    </w:lvl>
    <w:lvl xmlns:w="http://schemas.openxmlformats.org/wordprocessingml/2006/main" w:ilvl="5">
      <w:start w:val="1"/>
      <w:numFmt w:val="lowerRoman"/>
      <w:lvlText w:val="%6."/>
      <w:lvlJc w:val="right"/>
      <w:pPr>
        <w:ind w:left="4290" w:hanging="180"/>
      </w:pPr>
    </w:lvl>
    <w:lvl xmlns:w="http://schemas.openxmlformats.org/wordprocessingml/2006/main" w:ilvl="6">
      <w:start w:val="1"/>
      <w:numFmt w:val="decimal"/>
      <w:lvlText w:val="%7."/>
      <w:lvlJc w:val="left"/>
      <w:pPr>
        <w:ind w:left="5010" w:hanging="360"/>
      </w:pPr>
    </w:lvl>
    <w:lvl xmlns:w="http://schemas.openxmlformats.org/wordprocessingml/2006/main" w:ilvl="7">
      <w:start w:val="1"/>
      <w:numFmt w:val="lowerLetter"/>
      <w:lvlText w:val="%8."/>
      <w:lvlJc w:val="left"/>
      <w:pPr>
        <w:ind w:left="5730" w:hanging="360"/>
      </w:pPr>
    </w:lvl>
    <w:lvl xmlns:w="http://schemas.openxmlformats.org/wordprocessingml/2006/main" w:ilvl="8">
      <w:start w:val="1"/>
      <w:numFmt w:val="lowerRoman"/>
      <w:lvlText w:val="%9."/>
      <w:lvlJc w:val="right"/>
      <w:pPr>
        <w:ind w:left="6450" w:hanging="180"/>
      </w:pPr>
    </w:lvl>
  </w:abstractNum>
  <w:abstractNum xmlns:w="http://schemas.openxmlformats.org/wordprocessingml/2006/main" w:abstractNumId="8">
    <w:nsid w:val="4e5d105d"/>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46e85fd9"/>
    <w:multiLevelType xmlns:w="http://schemas.openxmlformats.org/wordprocessingml/2006/main" w:val="hybridMultilevel"/>
    <w:lvl xmlns:w="http://schemas.openxmlformats.org/wordprocessingml/2006/main" w:ilvl="0">
      <w:start w:val="1"/>
      <w:numFmt w:val="decimal"/>
      <w:lvlText w:val="%1."/>
      <w:lvlJc w:val="left"/>
      <w:pPr>
        <w:ind w:left="690" w:hanging="360"/>
      </w:pPr>
    </w:lvl>
    <w:lvl xmlns:w="http://schemas.openxmlformats.org/wordprocessingml/2006/main" w:ilvl="1">
      <w:start w:val="1"/>
      <w:numFmt w:val="lowerLetter"/>
      <w:lvlText w:val="%2."/>
      <w:lvlJc w:val="left"/>
      <w:pPr>
        <w:ind w:left="1410" w:hanging="360"/>
      </w:pPr>
    </w:lvl>
    <w:lvl xmlns:w="http://schemas.openxmlformats.org/wordprocessingml/2006/main" w:ilvl="2">
      <w:start w:val="1"/>
      <w:numFmt w:val="lowerRoman"/>
      <w:lvlText w:val="%3."/>
      <w:lvlJc w:val="right"/>
      <w:pPr>
        <w:ind w:left="2130" w:hanging="180"/>
      </w:pPr>
    </w:lvl>
    <w:lvl xmlns:w="http://schemas.openxmlformats.org/wordprocessingml/2006/main" w:ilvl="3">
      <w:start w:val="1"/>
      <w:numFmt w:val="decimal"/>
      <w:lvlText w:val="%4."/>
      <w:lvlJc w:val="left"/>
      <w:pPr>
        <w:ind w:left="2850" w:hanging="360"/>
      </w:pPr>
    </w:lvl>
    <w:lvl xmlns:w="http://schemas.openxmlformats.org/wordprocessingml/2006/main" w:ilvl="4">
      <w:start w:val="1"/>
      <w:numFmt w:val="lowerLetter"/>
      <w:lvlText w:val="%5."/>
      <w:lvlJc w:val="left"/>
      <w:pPr>
        <w:ind w:left="3570" w:hanging="360"/>
      </w:pPr>
    </w:lvl>
    <w:lvl xmlns:w="http://schemas.openxmlformats.org/wordprocessingml/2006/main" w:ilvl="5">
      <w:start w:val="1"/>
      <w:numFmt w:val="lowerRoman"/>
      <w:lvlText w:val="%6."/>
      <w:lvlJc w:val="right"/>
      <w:pPr>
        <w:ind w:left="4290" w:hanging="180"/>
      </w:pPr>
    </w:lvl>
    <w:lvl xmlns:w="http://schemas.openxmlformats.org/wordprocessingml/2006/main" w:ilvl="6">
      <w:start w:val="1"/>
      <w:numFmt w:val="decimal"/>
      <w:lvlText w:val="%7."/>
      <w:lvlJc w:val="left"/>
      <w:pPr>
        <w:ind w:left="5010" w:hanging="360"/>
      </w:pPr>
    </w:lvl>
    <w:lvl xmlns:w="http://schemas.openxmlformats.org/wordprocessingml/2006/main" w:ilvl="7">
      <w:start w:val="1"/>
      <w:numFmt w:val="lowerLetter"/>
      <w:lvlText w:val="%8."/>
      <w:lvlJc w:val="left"/>
      <w:pPr>
        <w:ind w:left="5730" w:hanging="360"/>
      </w:pPr>
    </w:lvl>
    <w:lvl xmlns:w="http://schemas.openxmlformats.org/wordprocessingml/2006/main" w:ilvl="8">
      <w:start w:val="1"/>
      <w:numFmt w:val="lowerRoman"/>
      <w:lvlText w:val="%9."/>
      <w:lvlJc w:val="right"/>
      <w:pPr>
        <w:ind w:left="6450" w:hanging="180"/>
      </w:pPr>
    </w:lvl>
  </w:abstractNum>
  <w:abstractNum xmlns:w="http://schemas.openxmlformats.org/wordprocessingml/2006/main" w:abstractNumId="6">
    <w:nsid w:val="60168719"/>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1407b386"/>
    <w:multiLevelType xmlns:w="http://schemas.openxmlformats.org/wordprocessingml/2006/main" w:val="hybridMultilevel"/>
    <w:lvl xmlns:w="http://schemas.openxmlformats.org/wordprocessingml/2006/main" w:ilvl="0">
      <w:start w:val="1"/>
      <w:numFmt w:val="decimal"/>
      <w:lvlText w:val="%1."/>
      <w:lvlJc w:val="left"/>
      <w:pPr>
        <w:ind w:left="690" w:hanging="360"/>
      </w:pPr>
    </w:lvl>
    <w:lvl xmlns:w="http://schemas.openxmlformats.org/wordprocessingml/2006/main" w:ilvl="1">
      <w:start w:val="1"/>
      <w:numFmt w:val="lowerLetter"/>
      <w:lvlText w:val="%2."/>
      <w:lvlJc w:val="left"/>
      <w:pPr>
        <w:ind w:left="1410" w:hanging="360"/>
      </w:pPr>
    </w:lvl>
    <w:lvl xmlns:w="http://schemas.openxmlformats.org/wordprocessingml/2006/main" w:ilvl="2">
      <w:start w:val="1"/>
      <w:numFmt w:val="lowerRoman"/>
      <w:lvlText w:val="%3."/>
      <w:lvlJc w:val="right"/>
      <w:pPr>
        <w:ind w:left="2130" w:hanging="180"/>
      </w:pPr>
    </w:lvl>
    <w:lvl xmlns:w="http://schemas.openxmlformats.org/wordprocessingml/2006/main" w:ilvl="3">
      <w:start w:val="1"/>
      <w:numFmt w:val="decimal"/>
      <w:lvlText w:val="%4."/>
      <w:lvlJc w:val="left"/>
      <w:pPr>
        <w:ind w:left="2850" w:hanging="360"/>
      </w:pPr>
    </w:lvl>
    <w:lvl xmlns:w="http://schemas.openxmlformats.org/wordprocessingml/2006/main" w:ilvl="4">
      <w:start w:val="1"/>
      <w:numFmt w:val="lowerLetter"/>
      <w:lvlText w:val="%5."/>
      <w:lvlJc w:val="left"/>
      <w:pPr>
        <w:ind w:left="3570" w:hanging="360"/>
      </w:pPr>
    </w:lvl>
    <w:lvl xmlns:w="http://schemas.openxmlformats.org/wordprocessingml/2006/main" w:ilvl="5">
      <w:start w:val="1"/>
      <w:numFmt w:val="lowerRoman"/>
      <w:lvlText w:val="%6."/>
      <w:lvlJc w:val="right"/>
      <w:pPr>
        <w:ind w:left="4290" w:hanging="180"/>
      </w:pPr>
    </w:lvl>
    <w:lvl xmlns:w="http://schemas.openxmlformats.org/wordprocessingml/2006/main" w:ilvl="6">
      <w:start w:val="1"/>
      <w:numFmt w:val="decimal"/>
      <w:lvlText w:val="%7."/>
      <w:lvlJc w:val="left"/>
      <w:pPr>
        <w:ind w:left="5010" w:hanging="360"/>
      </w:pPr>
    </w:lvl>
    <w:lvl xmlns:w="http://schemas.openxmlformats.org/wordprocessingml/2006/main" w:ilvl="7">
      <w:start w:val="1"/>
      <w:numFmt w:val="lowerLetter"/>
      <w:lvlText w:val="%8."/>
      <w:lvlJc w:val="left"/>
      <w:pPr>
        <w:ind w:left="5730" w:hanging="360"/>
      </w:pPr>
    </w:lvl>
    <w:lvl xmlns:w="http://schemas.openxmlformats.org/wordprocessingml/2006/main" w:ilvl="8">
      <w:start w:val="1"/>
      <w:numFmt w:val="lowerRoman"/>
      <w:lvlText w:val="%9."/>
      <w:lvlJc w:val="right"/>
      <w:pPr>
        <w:ind w:left="6450" w:hanging="180"/>
      </w:pPr>
    </w:lvl>
  </w:abstractNum>
  <w:abstractNum xmlns:w="http://schemas.openxmlformats.org/wordprocessingml/2006/main" w:abstractNumId="4">
    <w:nsid w:val="7f6fce0d"/>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
    <w:nsid w:val="48cea1e4"/>
    <w:multiLevelType xmlns:w="http://schemas.openxmlformats.org/wordprocessingml/2006/main" w:val="hybridMultilevel"/>
    <w:lvl xmlns:w="http://schemas.openxmlformats.org/wordprocessingml/2006/main" w:ilvl="0">
      <w:start w:val="1"/>
      <w:numFmt w:val="decimal"/>
      <w:lvlText w:val="%1."/>
      <w:lvlJc w:val="left"/>
      <w:pPr>
        <w:ind w:left="690" w:hanging="360"/>
      </w:pPr>
    </w:lvl>
    <w:lvl xmlns:w="http://schemas.openxmlformats.org/wordprocessingml/2006/main" w:ilvl="1">
      <w:start w:val="1"/>
      <w:numFmt w:val="lowerLetter"/>
      <w:lvlText w:val="%2."/>
      <w:lvlJc w:val="left"/>
      <w:pPr>
        <w:ind w:left="1410" w:hanging="360"/>
      </w:pPr>
    </w:lvl>
    <w:lvl xmlns:w="http://schemas.openxmlformats.org/wordprocessingml/2006/main" w:ilvl="2">
      <w:start w:val="1"/>
      <w:numFmt w:val="lowerRoman"/>
      <w:lvlText w:val="%3."/>
      <w:lvlJc w:val="right"/>
      <w:pPr>
        <w:ind w:left="2130" w:hanging="180"/>
      </w:pPr>
    </w:lvl>
    <w:lvl xmlns:w="http://schemas.openxmlformats.org/wordprocessingml/2006/main" w:ilvl="3">
      <w:start w:val="1"/>
      <w:numFmt w:val="decimal"/>
      <w:lvlText w:val="%4."/>
      <w:lvlJc w:val="left"/>
      <w:pPr>
        <w:ind w:left="2850" w:hanging="360"/>
      </w:pPr>
    </w:lvl>
    <w:lvl xmlns:w="http://schemas.openxmlformats.org/wordprocessingml/2006/main" w:ilvl="4">
      <w:start w:val="1"/>
      <w:numFmt w:val="lowerLetter"/>
      <w:lvlText w:val="%5."/>
      <w:lvlJc w:val="left"/>
      <w:pPr>
        <w:ind w:left="3570" w:hanging="360"/>
      </w:pPr>
    </w:lvl>
    <w:lvl xmlns:w="http://schemas.openxmlformats.org/wordprocessingml/2006/main" w:ilvl="5">
      <w:start w:val="1"/>
      <w:numFmt w:val="lowerRoman"/>
      <w:lvlText w:val="%6."/>
      <w:lvlJc w:val="right"/>
      <w:pPr>
        <w:ind w:left="4290" w:hanging="180"/>
      </w:pPr>
    </w:lvl>
    <w:lvl xmlns:w="http://schemas.openxmlformats.org/wordprocessingml/2006/main" w:ilvl="6">
      <w:start w:val="1"/>
      <w:numFmt w:val="decimal"/>
      <w:lvlText w:val="%7."/>
      <w:lvlJc w:val="left"/>
      <w:pPr>
        <w:ind w:left="5010" w:hanging="360"/>
      </w:pPr>
    </w:lvl>
    <w:lvl xmlns:w="http://schemas.openxmlformats.org/wordprocessingml/2006/main" w:ilvl="7">
      <w:start w:val="1"/>
      <w:numFmt w:val="lowerLetter"/>
      <w:lvlText w:val="%8."/>
      <w:lvlJc w:val="left"/>
      <w:pPr>
        <w:ind w:left="5730" w:hanging="360"/>
      </w:pPr>
    </w:lvl>
    <w:lvl xmlns:w="http://schemas.openxmlformats.org/wordprocessingml/2006/main" w:ilvl="8">
      <w:start w:val="1"/>
      <w:numFmt w:val="lowerRoman"/>
      <w:lvlText w:val="%9."/>
      <w:lvlJc w:val="right"/>
      <w:pPr>
        <w:ind w:left="6450" w:hanging="180"/>
      </w:pPr>
    </w:lvl>
  </w:abstractNum>
  <w:abstractNum xmlns:w="http://schemas.openxmlformats.org/wordprocessingml/2006/main" w:abstractNumId="2">
    <w:nsid w:val="1c62735d"/>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3a8c14aa"/>
    <w:multiLevelType xmlns:w="http://schemas.openxmlformats.org/wordprocessingml/2006/main" w:val="hybridMultilevel"/>
    <w:lvl xmlns:w="http://schemas.openxmlformats.org/wordprocessingml/2006/main" w:ilvl="0">
      <w:start w:val="1"/>
      <w:numFmt w:val="decimal"/>
      <w:lvlText w:val="%1."/>
      <w:lvlJc w:val="left"/>
      <w:pPr>
        <w:ind w:left="690" w:hanging="360"/>
      </w:pPr>
    </w:lvl>
    <w:lvl xmlns:w="http://schemas.openxmlformats.org/wordprocessingml/2006/main" w:ilvl="1">
      <w:start w:val="1"/>
      <w:numFmt w:val="lowerLetter"/>
      <w:lvlText w:val="%2."/>
      <w:lvlJc w:val="left"/>
      <w:pPr>
        <w:ind w:left="1410" w:hanging="360"/>
      </w:pPr>
    </w:lvl>
    <w:lvl xmlns:w="http://schemas.openxmlformats.org/wordprocessingml/2006/main" w:ilvl="2">
      <w:start w:val="1"/>
      <w:numFmt w:val="lowerRoman"/>
      <w:lvlText w:val="%3."/>
      <w:lvlJc w:val="right"/>
      <w:pPr>
        <w:ind w:left="2130" w:hanging="180"/>
      </w:pPr>
    </w:lvl>
    <w:lvl xmlns:w="http://schemas.openxmlformats.org/wordprocessingml/2006/main" w:ilvl="3">
      <w:start w:val="1"/>
      <w:numFmt w:val="decimal"/>
      <w:lvlText w:val="%4."/>
      <w:lvlJc w:val="left"/>
      <w:pPr>
        <w:ind w:left="2850" w:hanging="360"/>
      </w:pPr>
    </w:lvl>
    <w:lvl xmlns:w="http://schemas.openxmlformats.org/wordprocessingml/2006/main" w:ilvl="4">
      <w:start w:val="1"/>
      <w:numFmt w:val="lowerLetter"/>
      <w:lvlText w:val="%5."/>
      <w:lvlJc w:val="left"/>
      <w:pPr>
        <w:ind w:left="3570" w:hanging="360"/>
      </w:pPr>
    </w:lvl>
    <w:lvl xmlns:w="http://schemas.openxmlformats.org/wordprocessingml/2006/main" w:ilvl="5">
      <w:start w:val="1"/>
      <w:numFmt w:val="lowerRoman"/>
      <w:lvlText w:val="%6."/>
      <w:lvlJc w:val="right"/>
      <w:pPr>
        <w:ind w:left="4290" w:hanging="180"/>
      </w:pPr>
    </w:lvl>
    <w:lvl xmlns:w="http://schemas.openxmlformats.org/wordprocessingml/2006/main" w:ilvl="6">
      <w:start w:val="1"/>
      <w:numFmt w:val="decimal"/>
      <w:lvlText w:val="%7."/>
      <w:lvlJc w:val="left"/>
      <w:pPr>
        <w:ind w:left="5010" w:hanging="360"/>
      </w:pPr>
    </w:lvl>
    <w:lvl xmlns:w="http://schemas.openxmlformats.org/wordprocessingml/2006/main" w:ilvl="7">
      <w:start w:val="1"/>
      <w:numFmt w:val="lowerLetter"/>
      <w:lvlText w:val="%8."/>
      <w:lvlJc w:val="left"/>
      <w:pPr>
        <w:ind w:left="5730" w:hanging="360"/>
      </w:pPr>
    </w:lvl>
    <w:lvl xmlns:w="http://schemas.openxmlformats.org/wordprocessingml/2006/main" w:ilvl="8">
      <w:start w:val="1"/>
      <w:numFmt w:val="lowerRoman"/>
      <w:lvlText w:val="%9."/>
      <w:lvlJc w:val="right"/>
      <w:pPr>
        <w:ind w:left="6450" w:hanging="180"/>
      </w:pPr>
    </w:lvl>
  </w:abstractNum>
  <w:abstractNum w:abstractNumId="0" w15:restartNumberingAfterBreak="0">
    <w:nsid w:val="0D4F335B"/>
    <w:multiLevelType w:val="multilevel"/>
    <w:tmpl w:val="E2A0A10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16cid:durableId="9497001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BAC"/>
    <w:rsid w:val="000E1865"/>
    <w:rsid w:val="00202786"/>
    <w:rsid w:val="002F26F1"/>
    <w:rsid w:val="003413F9"/>
    <w:rsid w:val="0035371B"/>
    <w:rsid w:val="0072063F"/>
    <w:rsid w:val="007535C4"/>
    <w:rsid w:val="00BF5BAC"/>
    <w:rsid w:val="0658A426"/>
    <w:rsid w:val="1BEAFAD7"/>
    <w:rsid w:val="2815D951"/>
    <w:rsid w:val="37616C3F"/>
    <w:rsid w:val="45474B1D"/>
    <w:rsid w:val="4A681C20"/>
    <w:rsid w:val="5B5DBA12"/>
    <w:rsid w:val="687DE5BF"/>
    <w:rsid w:val="7B19A90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6568F6E7"/>
  <w15:docId w15:val="{AFCE79C2-0B8A-3F43-890A-FF7EEF7B1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hAnsi="Arial" w:eastAsia="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uiPriority w:val="34"/>
    <w:name w:val="List Paragraph"/>
    <w:basedOn w:val="Normal"/>
    <w:qFormat/>
    <w:rsid w:val="37616C3F"/>
    <w:pPr>
      <w:spacing/>
      <w:ind w:left="720"/>
      <w:contextualSpacing/>
    </w:pPr>
  </w:style>
  <w:style w:type="character" w:styleId="Hyperlink">
    <w:uiPriority w:val="99"/>
    <w:name w:val="Hyperlink"/>
    <w:basedOn w:val="DefaultParagraphFont"/>
    <w:unhideWhenUsed/>
    <w:rsid w:val="37616C3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 Type="http://schemas.openxmlformats.org/officeDocument/2006/relationships/hyperlink" Target="https://onlinelibrary.wiley.com/doi/10.1111/ctr.14453" TargetMode="External" Id="Raf3a634a63044468" /><Relationship Type="http://schemas.openxmlformats.org/officeDocument/2006/relationships/hyperlink" Target="https://onlinelibrary.wiley.com/doi/10.1111/ctr.14644" TargetMode="External" Id="Rf6998002f23f4c2b"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D097D6B675AF34D9FCBF20A3775A223" ma:contentTypeVersion="6" ma:contentTypeDescription="Create a new document." ma:contentTypeScope="" ma:versionID="38995a063970a75c27e08392df1f2be8">
  <xsd:schema xmlns:xsd="http://www.w3.org/2001/XMLSchema" xmlns:xs="http://www.w3.org/2001/XMLSchema" xmlns:p="http://schemas.microsoft.com/office/2006/metadata/properties" xmlns:ns2="585afff9-8319-4eb5-abf2-113748625117" xmlns:ns3="bf988a31-5909-44c6-a48e-b7c8f1d6bcaf" targetNamespace="http://schemas.microsoft.com/office/2006/metadata/properties" ma:root="true" ma:fieldsID="74a8e18255f930e55b9dd0c99f06b96a" ns2:_="" ns3:_="">
    <xsd:import namespace="585afff9-8319-4eb5-abf2-113748625117"/>
    <xsd:import namespace="bf988a31-5909-44c6-a48e-b7c8f1d6bca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5afff9-8319-4eb5-abf2-1137486251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988a31-5909-44c6-a48e-b7c8f1d6bca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6901FDE-ED28-4AD9-ACFB-1456D2B92E1F}">
  <ds:schemaRefs>
    <ds:schemaRef ds:uri="http://schemas.microsoft.com/sharepoint/v3/contenttype/forms"/>
  </ds:schemaRefs>
</ds:datastoreItem>
</file>

<file path=customXml/itemProps2.xml><?xml version="1.0" encoding="utf-8"?>
<ds:datastoreItem xmlns:ds="http://schemas.openxmlformats.org/officeDocument/2006/customXml" ds:itemID="{33522074-71C5-4061-9FC3-9507B6612A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5afff9-8319-4eb5-abf2-113748625117"/>
    <ds:schemaRef ds:uri="bf988a31-5909-44c6-a48e-b7c8f1d6bc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624DC24-915F-4734-A28A-BDDD0134EEE3}">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WELLS, Gemma (LONDON NORTH WEST UNIVERSITY HEALTHCARE NHS TRUST)</lastModifiedBy>
  <revision>8</revision>
  <dcterms:created xsi:type="dcterms:W3CDTF">2025-08-11T07:32:00.0000000Z</dcterms:created>
  <dcterms:modified xsi:type="dcterms:W3CDTF">2025-08-15T10:57:41.5311327Z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0x0101004D097D6B675AF34D9FCBF20A3775A223</vt:lpwstr>
  </property>
</Properties>
</file>