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16F4BDE6" w:rsidR="00AD2833" w:rsidRDefault="00AD064F" w:rsidP="68BEE7E8">
      <w:pPr>
        <w:jc w:val="center"/>
        <w:rPr>
          <w:b/>
          <w:bCs/>
          <w:u w:val="single"/>
        </w:rPr>
      </w:pPr>
      <w:r>
        <w:rPr>
          <w:b/>
          <w:bCs/>
          <w:u w:val="single"/>
        </w:rPr>
        <w:t>REMAP-CAP Immunoglobulin domain FAQs</w:t>
      </w:r>
      <w:bookmarkStart w:id="0" w:name="_GoBack"/>
      <w:bookmarkEnd w:id="0"/>
    </w:p>
    <w:p w14:paraId="1F7697CF" w14:textId="0E93C4A2" w:rsidR="00AD2833" w:rsidRDefault="00AD2833" w:rsidP="79C7CD84">
      <w:pPr>
        <w:jc w:val="center"/>
        <w:rPr>
          <w:rFonts w:eastAsiaTheme="minorEastAsia"/>
          <w:b/>
          <w:bCs/>
          <w:sz w:val="20"/>
          <w:szCs w:val="20"/>
        </w:rPr>
      </w:pPr>
    </w:p>
    <w:tbl>
      <w:tblPr>
        <w:tblStyle w:val="TableGrid"/>
        <w:tblW w:w="0" w:type="auto"/>
        <w:tblLayout w:type="fixed"/>
        <w:tblLook w:val="06A0" w:firstRow="1" w:lastRow="0" w:firstColumn="1" w:lastColumn="0" w:noHBand="1" w:noVBand="1"/>
      </w:tblPr>
      <w:tblGrid>
        <w:gridCol w:w="2700"/>
        <w:gridCol w:w="6326"/>
      </w:tblGrid>
      <w:tr w:rsidR="79C7CD84" w14:paraId="0C692BE0" w14:textId="77777777" w:rsidTr="041DACFA">
        <w:tc>
          <w:tcPr>
            <w:tcW w:w="9026" w:type="dxa"/>
            <w:gridSpan w:val="2"/>
            <w:shd w:val="clear" w:color="auto" w:fill="E7E6E6" w:themeFill="background2"/>
          </w:tcPr>
          <w:p w14:paraId="4E026683" w14:textId="086B2F86" w:rsidR="6DD0F371" w:rsidRDefault="52ED02C2" w:rsidP="79C7CD84">
            <w:pPr>
              <w:jc w:val="center"/>
              <w:rPr>
                <w:rFonts w:eastAsiaTheme="minorEastAsia"/>
                <w:b/>
                <w:bCs/>
              </w:rPr>
            </w:pPr>
            <w:r w:rsidRPr="00FC3F94">
              <w:rPr>
                <w:rFonts w:eastAsiaTheme="minorEastAsia"/>
                <w:b/>
                <w:bCs/>
              </w:rPr>
              <w:t xml:space="preserve">REMAP-CAP Trial </w:t>
            </w:r>
            <w:r w:rsidR="6DD0F371" w:rsidRPr="00FC3F94">
              <w:rPr>
                <w:rFonts w:eastAsiaTheme="minorEastAsia"/>
                <w:b/>
                <w:bCs/>
              </w:rPr>
              <w:t>Sampling</w:t>
            </w:r>
          </w:p>
        </w:tc>
      </w:tr>
      <w:tr w:rsidR="79C7CD84" w14:paraId="31D13B9C" w14:textId="77777777" w:rsidTr="041DACFA">
        <w:tc>
          <w:tcPr>
            <w:tcW w:w="2700" w:type="dxa"/>
          </w:tcPr>
          <w:p w14:paraId="224FF222" w14:textId="1B4D2C94" w:rsidR="6DD0F371" w:rsidRDefault="6DD0F371" w:rsidP="79C7CD84">
            <w:pPr>
              <w:rPr>
                <w:rFonts w:eastAsiaTheme="minorEastAsia"/>
                <w:b/>
                <w:bCs/>
              </w:rPr>
            </w:pPr>
            <w:r w:rsidRPr="00FC3F94">
              <w:rPr>
                <w:rFonts w:eastAsiaTheme="minorEastAsia"/>
                <w:b/>
                <w:bCs/>
              </w:rPr>
              <w:t xml:space="preserve">What are the laboratory requirements for packing the </w:t>
            </w:r>
            <w:r w:rsidR="50BC4DB2" w:rsidRPr="00FC3F94">
              <w:rPr>
                <w:rFonts w:eastAsiaTheme="minorEastAsia"/>
                <w:b/>
                <w:bCs/>
              </w:rPr>
              <w:t xml:space="preserve">REMAP-CAP </w:t>
            </w:r>
            <w:r w:rsidRPr="00FC3F94">
              <w:rPr>
                <w:rFonts w:eastAsiaTheme="minorEastAsia"/>
                <w:b/>
                <w:bCs/>
              </w:rPr>
              <w:t>baseline samples?</w:t>
            </w:r>
          </w:p>
        </w:tc>
        <w:tc>
          <w:tcPr>
            <w:tcW w:w="6326" w:type="dxa"/>
          </w:tcPr>
          <w:p w14:paraId="71EFA7E0" w14:textId="75ADD5D8" w:rsidR="6DD0F371" w:rsidRDefault="6DD0F371" w:rsidP="79C7CD84">
            <w:pPr>
              <w:rPr>
                <w:rFonts w:eastAsiaTheme="minorEastAsia"/>
              </w:rPr>
            </w:pPr>
            <w:r w:rsidRPr="79C7CD84">
              <w:rPr>
                <w:rFonts w:eastAsiaTheme="minorEastAsia"/>
              </w:rPr>
              <w:t>We are not expecting samples to be packaged in a clinical laboratory, but we do ask that the postage pack and paperwork are kept out of the clinical area to reduce risk of viral transmission. Sample tubes should be disinfected (e.g. with a cleaning wipe) before leaving the clinical area</w:t>
            </w:r>
            <w:r w:rsidRPr="79C7CD84">
              <w:rPr>
                <w:rFonts w:eastAsiaTheme="minorEastAsia"/>
                <w:b/>
                <w:bCs/>
              </w:rPr>
              <w:t>.</w:t>
            </w:r>
          </w:p>
        </w:tc>
      </w:tr>
      <w:tr w:rsidR="79C7CD84" w14:paraId="73682AA3" w14:textId="77777777" w:rsidTr="041DACFA">
        <w:tc>
          <w:tcPr>
            <w:tcW w:w="2700" w:type="dxa"/>
          </w:tcPr>
          <w:p w14:paraId="07158F90" w14:textId="7EBD232F" w:rsidR="6DD0F371" w:rsidRDefault="6DD0F371" w:rsidP="79C7CD84">
            <w:pPr>
              <w:rPr>
                <w:rFonts w:eastAsiaTheme="minorEastAsia"/>
              </w:rPr>
            </w:pPr>
            <w:r w:rsidRPr="00FC3F94">
              <w:rPr>
                <w:rFonts w:eastAsiaTheme="minorEastAsia"/>
                <w:b/>
                <w:bCs/>
              </w:rPr>
              <w:t xml:space="preserve">Should the </w:t>
            </w:r>
            <w:r w:rsidR="0B94517C" w:rsidRPr="00FC3F94">
              <w:rPr>
                <w:rFonts w:eastAsiaTheme="minorEastAsia"/>
                <w:b/>
                <w:bCs/>
              </w:rPr>
              <w:t xml:space="preserve">REMAP-CAP </w:t>
            </w:r>
            <w:r w:rsidRPr="00FC3F94">
              <w:rPr>
                <w:rFonts w:eastAsiaTheme="minorEastAsia"/>
                <w:b/>
                <w:bCs/>
              </w:rPr>
              <w:t>sampling be done on all patients or just the patients randomised to plasma?</w:t>
            </w:r>
          </w:p>
        </w:tc>
        <w:tc>
          <w:tcPr>
            <w:tcW w:w="6326" w:type="dxa"/>
          </w:tcPr>
          <w:p w14:paraId="1BC59011" w14:textId="2BC6E364" w:rsidR="6DD0F371" w:rsidRDefault="6DD0F371" w:rsidP="79C7CD84">
            <w:pPr>
              <w:rPr>
                <w:rFonts w:eastAsiaTheme="minorEastAsia"/>
              </w:rPr>
            </w:pPr>
            <w:r w:rsidRPr="79C7CD84">
              <w:rPr>
                <w:rFonts w:eastAsiaTheme="minorEastAsia"/>
              </w:rPr>
              <w:t>The sampling should be done on all patients.</w:t>
            </w:r>
          </w:p>
        </w:tc>
      </w:tr>
      <w:tr w:rsidR="79C7CD84" w14:paraId="53AE2C1E" w14:textId="77777777" w:rsidTr="041DACFA">
        <w:tc>
          <w:tcPr>
            <w:tcW w:w="2700" w:type="dxa"/>
          </w:tcPr>
          <w:p w14:paraId="467022A6" w14:textId="6F468DC7" w:rsidR="6DD0F371" w:rsidRDefault="6DD0F371" w:rsidP="79C7CD84">
            <w:pPr>
              <w:rPr>
                <w:rFonts w:eastAsiaTheme="minorEastAsia"/>
              </w:rPr>
            </w:pPr>
            <w:r w:rsidRPr="79C7CD84">
              <w:rPr>
                <w:rFonts w:eastAsiaTheme="minorEastAsia"/>
                <w:b/>
                <w:bCs/>
              </w:rPr>
              <w:t>Can we do baseline sampling for some patients and intensive sampling for some?</w:t>
            </w:r>
          </w:p>
        </w:tc>
        <w:tc>
          <w:tcPr>
            <w:tcW w:w="6326" w:type="dxa"/>
          </w:tcPr>
          <w:p w14:paraId="613EDB6B" w14:textId="371809F0" w:rsidR="6DD0F371" w:rsidRDefault="6DD0F371" w:rsidP="79C7CD84">
            <w:pPr>
              <w:rPr>
                <w:rFonts w:eastAsiaTheme="minorEastAsia"/>
                <w:b/>
                <w:bCs/>
              </w:rPr>
            </w:pPr>
            <w:r w:rsidRPr="2D5C88A6">
              <w:rPr>
                <w:rFonts w:eastAsiaTheme="minorEastAsia"/>
              </w:rPr>
              <w:t>This could lead to confusion so we would expect you to just do one, however we are happy for you to switch from baseline to intensive or vice versa if your capacity changes.</w:t>
            </w:r>
          </w:p>
        </w:tc>
      </w:tr>
      <w:tr w:rsidR="79C7CD84" w14:paraId="1D8334D2" w14:textId="77777777" w:rsidTr="041DACFA">
        <w:tc>
          <w:tcPr>
            <w:tcW w:w="2700" w:type="dxa"/>
          </w:tcPr>
          <w:p w14:paraId="13E85A8F" w14:textId="78C3B8D7" w:rsidR="4C1F4B5B" w:rsidRDefault="4C1F4B5B" w:rsidP="79C7CD84">
            <w:pPr>
              <w:rPr>
                <w:b/>
                <w:bCs/>
              </w:rPr>
            </w:pPr>
            <w:r w:rsidRPr="79C7CD84">
              <w:rPr>
                <w:b/>
                <w:bCs/>
              </w:rPr>
              <w:t>How do</w:t>
            </w:r>
            <w:r w:rsidR="344C9F8F" w:rsidRPr="79C7CD84">
              <w:rPr>
                <w:b/>
                <w:bCs/>
              </w:rPr>
              <w:t xml:space="preserve"> we </w:t>
            </w:r>
            <w:r w:rsidR="5060523F" w:rsidRPr="79C7CD84">
              <w:rPr>
                <w:b/>
                <w:bCs/>
              </w:rPr>
              <w:t xml:space="preserve">take patient samples </w:t>
            </w:r>
            <w:r w:rsidR="344C9F8F" w:rsidRPr="79C7CD84">
              <w:rPr>
                <w:b/>
                <w:bCs/>
              </w:rPr>
              <w:t>if a patient is discharged before day 28?</w:t>
            </w:r>
          </w:p>
        </w:tc>
        <w:tc>
          <w:tcPr>
            <w:tcW w:w="6326" w:type="dxa"/>
          </w:tcPr>
          <w:p w14:paraId="4577434F" w14:textId="73E22870" w:rsidR="344C9F8F" w:rsidRDefault="344C9F8F" w:rsidP="79C7CD84">
            <w:r w:rsidRPr="79C7CD84">
              <w:t>Samples are only taken whilst the patient is in hospital.</w:t>
            </w:r>
          </w:p>
          <w:p w14:paraId="214D41E4" w14:textId="69F44D9F" w:rsidR="79C7CD84" w:rsidRDefault="79C7CD84" w:rsidP="79C7CD84">
            <w:pPr>
              <w:rPr>
                <w:rFonts w:eastAsiaTheme="minorEastAsia"/>
                <w:b/>
                <w:bCs/>
              </w:rPr>
            </w:pPr>
          </w:p>
        </w:tc>
      </w:tr>
      <w:tr w:rsidR="79C7CD84" w14:paraId="24E31935" w14:textId="77777777" w:rsidTr="041DACFA">
        <w:tc>
          <w:tcPr>
            <w:tcW w:w="2700" w:type="dxa"/>
          </w:tcPr>
          <w:p w14:paraId="6FD569BB" w14:textId="2629C63D" w:rsidR="344C9F8F" w:rsidRDefault="344C9F8F" w:rsidP="79C7CD84">
            <w:pPr>
              <w:rPr>
                <w:rFonts w:ascii="Calibri" w:eastAsia="Calibri" w:hAnsi="Calibri" w:cs="Calibri"/>
              </w:rPr>
            </w:pPr>
            <w:r w:rsidRPr="00FC3F94">
              <w:rPr>
                <w:b/>
                <w:bCs/>
              </w:rPr>
              <w:t>What are the lab</w:t>
            </w:r>
            <w:r w:rsidR="1AFC11F0" w:rsidRPr="00FC3F94">
              <w:rPr>
                <w:b/>
                <w:bCs/>
              </w:rPr>
              <w:t>oratory</w:t>
            </w:r>
            <w:r w:rsidRPr="00FC3F94">
              <w:rPr>
                <w:b/>
                <w:bCs/>
              </w:rPr>
              <w:t xml:space="preserve"> requirements for processing samples?</w:t>
            </w:r>
          </w:p>
        </w:tc>
        <w:tc>
          <w:tcPr>
            <w:tcW w:w="6326" w:type="dxa"/>
          </w:tcPr>
          <w:p w14:paraId="2AB5D387" w14:textId="062DCD4D" w:rsidR="344C9F8F" w:rsidRDefault="344C9F8F" w:rsidP="79C7CD84">
            <w:pPr>
              <w:rPr>
                <w:rFonts w:ascii="Calibri" w:eastAsia="Calibri" w:hAnsi="Calibri" w:cs="Calibri"/>
                <w:b/>
                <w:bCs/>
              </w:rPr>
            </w:pPr>
            <w:r w:rsidRPr="79C7CD84">
              <w:t xml:space="preserve">We </w:t>
            </w:r>
            <w:r w:rsidRPr="79C7CD84">
              <w:rPr>
                <w:rFonts w:ascii="Calibri" w:eastAsia="Calibri" w:hAnsi="Calibri" w:cs="Calibri"/>
              </w:rPr>
              <w:t>recommend following the WHO guidelines (</w:t>
            </w:r>
            <w:hyperlink r:id="rId8">
              <w:r w:rsidRPr="79C7CD84">
                <w:rPr>
                  <w:rStyle w:val="Hyperlink"/>
                  <w:rFonts w:ascii="Calibri" w:eastAsia="Calibri" w:hAnsi="Calibri" w:cs="Calibri"/>
                  <w:color w:val="0563C1"/>
                </w:rPr>
                <w:t>https://www.who.int/docs/default-source/coronaviruse/laboratory-biosafety-novel-coronavirus-version-1-1.pdf?sfvrsn=912a9847_2</w:t>
              </w:r>
            </w:hyperlink>
            <w:r w:rsidRPr="79C7CD84">
              <w:rPr>
                <w:rFonts w:ascii="Calibri" w:eastAsia="Calibri" w:hAnsi="Calibri" w:cs="Calibri"/>
              </w:rPr>
              <w:t xml:space="preserve"> ) – they suggest that this should take place in a validated biological safety cabinet (BSC) or primary containment device.</w:t>
            </w:r>
          </w:p>
        </w:tc>
      </w:tr>
      <w:tr w:rsidR="79C7CD84" w14:paraId="5FE30808" w14:textId="77777777" w:rsidTr="041DACFA">
        <w:tc>
          <w:tcPr>
            <w:tcW w:w="2700" w:type="dxa"/>
          </w:tcPr>
          <w:p w14:paraId="0CB28D03" w14:textId="63000E1C" w:rsidR="344C9F8F" w:rsidRDefault="344C9F8F" w:rsidP="79C7CD84">
            <w:pPr>
              <w:rPr>
                <w:rFonts w:ascii="Calibri" w:eastAsia="Calibri" w:hAnsi="Calibri" w:cs="Calibri"/>
                <w:b/>
                <w:bCs/>
              </w:rPr>
            </w:pPr>
            <w:r w:rsidRPr="79C7CD84">
              <w:rPr>
                <w:rFonts w:ascii="Calibri" w:eastAsia="Calibri" w:hAnsi="Calibri" w:cs="Calibri"/>
                <w:b/>
                <w:bCs/>
              </w:rPr>
              <w:t xml:space="preserve">Will samples </w:t>
            </w:r>
            <w:r w:rsidR="07B7AB8A" w:rsidRPr="79C7CD84">
              <w:rPr>
                <w:rFonts w:ascii="Calibri" w:eastAsia="Calibri" w:hAnsi="Calibri" w:cs="Calibri"/>
                <w:b/>
                <w:bCs/>
              </w:rPr>
              <w:t>need to</w:t>
            </w:r>
            <w:r w:rsidRPr="79C7CD84">
              <w:rPr>
                <w:rFonts w:ascii="Calibri" w:eastAsia="Calibri" w:hAnsi="Calibri" w:cs="Calibri"/>
                <w:b/>
                <w:bCs/>
              </w:rPr>
              <w:t xml:space="preserve"> </w:t>
            </w:r>
            <w:r w:rsidR="07B7AB8A" w:rsidRPr="79C7CD84">
              <w:rPr>
                <w:rFonts w:ascii="Calibri" w:eastAsia="Calibri" w:hAnsi="Calibri" w:cs="Calibri"/>
                <w:b/>
                <w:bCs/>
              </w:rPr>
              <w:t xml:space="preserve">be processed </w:t>
            </w:r>
            <w:r w:rsidRPr="79C7CD84">
              <w:rPr>
                <w:rFonts w:ascii="Calibri" w:eastAsia="Calibri" w:hAnsi="Calibri" w:cs="Calibri"/>
                <w:b/>
                <w:bCs/>
              </w:rPr>
              <w:t>24/7?</w:t>
            </w:r>
          </w:p>
        </w:tc>
        <w:tc>
          <w:tcPr>
            <w:tcW w:w="6326" w:type="dxa"/>
          </w:tcPr>
          <w:p w14:paraId="66DF2CF4" w14:textId="1CC4ACAE" w:rsidR="344C9F8F" w:rsidRDefault="344C9F8F" w:rsidP="79C7CD84">
            <w:pPr>
              <w:rPr>
                <w:rFonts w:ascii="Calibri" w:eastAsia="Calibri" w:hAnsi="Calibri" w:cs="Calibri"/>
              </w:rPr>
            </w:pPr>
            <w:r w:rsidRPr="79C7CD84">
              <w:rPr>
                <w:rFonts w:ascii="Calibri" w:eastAsia="Calibri" w:hAnsi="Calibri" w:cs="Calibri"/>
              </w:rPr>
              <w:t xml:space="preserve">There is a </w:t>
            </w:r>
            <w:r w:rsidR="7CE08AC0" w:rsidRPr="79C7CD84">
              <w:rPr>
                <w:rFonts w:ascii="Calibri" w:eastAsia="Calibri" w:hAnsi="Calibri" w:cs="Calibri"/>
              </w:rPr>
              <w:t>12-hour</w:t>
            </w:r>
            <w:r w:rsidRPr="79C7CD84">
              <w:rPr>
                <w:rFonts w:ascii="Calibri" w:eastAsia="Calibri" w:hAnsi="Calibri" w:cs="Calibri"/>
              </w:rPr>
              <w:t xml:space="preserve"> window around each sampling time point so all samples </w:t>
            </w:r>
            <w:r w:rsidRPr="79C7CD84">
              <w:rPr>
                <w:rFonts w:ascii="Calibri" w:eastAsia="Calibri" w:hAnsi="Calibri" w:cs="Calibri"/>
                <w:u w:val="single"/>
              </w:rPr>
              <w:t>could</w:t>
            </w:r>
            <w:r w:rsidRPr="79C7CD84">
              <w:rPr>
                <w:rFonts w:ascii="Calibri" w:eastAsia="Calibri" w:hAnsi="Calibri" w:cs="Calibri"/>
              </w:rPr>
              <w:t xml:space="preserve"> be taken within working hours. But this would need checking with the local Research Team</w:t>
            </w:r>
            <w:r w:rsidR="6086B408" w:rsidRPr="79C7CD84">
              <w:rPr>
                <w:rFonts w:ascii="Calibri" w:eastAsia="Calibri" w:hAnsi="Calibri" w:cs="Calibri"/>
              </w:rPr>
              <w:t>.</w:t>
            </w:r>
          </w:p>
        </w:tc>
      </w:tr>
      <w:tr w:rsidR="79C7CD84" w14:paraId="52961287" w14:textId="77777777" w:rsidTr="041DACFA">
        <w:tc>
          <w:tcPr>
            <w:tcW w:w="2700" w:type="dxa"/>
          </w:tcPr>
          <w:p w14:paraId="3194FE71" w14:textId="64073089" w:rsidR="344C9F8F" w:rsidRDefault="344C9F8F" w:rsidP="79C7CD84">
            <w:pPr>
              <w:rPr>
                <w:rFonts w:ascii="Calibri" w:eastAsia="Calibri" w:hAnsi="Calibri" w:cs="Calibri"/>
                <w:b/>
                <w:bCs/>
              </w:rPr>
            </w:pPr>
            <w:r w:rsidRPr="79C7CD84">
              <w:rPr>
                <w:rFonts w:ascii="Calibri" w:eastAsia="Calibri" w:hAnsi="Calibri" w:cs="Calibri"/>
                <w:b/>
                <w:bCs/>
              </w:rPr>
              <w:t>Is there a study specific courier code for booking City Sprint for transfer of samples to Guy’s?</w:t>
            </w:r>
          </w:p>
        </w:tc>
        <w:tc>
          <w:tcPr>
            <w:tcW w:w="6326" w:type="dxa"/>
          </w:tcPr>
          <w:p w14:paraId="5C27BD2F" w14:textId="7154FB4D" w:rsidR="630FBF82" w:rsidRDefault="630FBF82" w:rsidP="79C7CD84">
            <w:pPr>
              <w:rPr>
                <w:rFonts w:ascii="Calibri" w:eastAsia="Calibri" w:hAnsi="Calibri" w:cs="Calibri"/>
                <w:b/>
                <w:bCs/>
              </w:rPr>
            </w:pPr>
            <w:r w:rsidRPr="79C7CD84">
              <w:rPr>
                <w:rFonts w:ascii="Calibri" w:eastAsia="Calibri" w:hAnsi="Calibri" w:cs="Calibri"/>
              </w:rPr>
              <w:t>Yes,</w:t>
            </w:r>
            <w:r w:rsidR="00BB405A" w:rsidRPr="79C7CD84">
              <w:rPr>
                <w:rFonts w:ascii="Calibri" w:eastAsia="Calibri" w:hAnsi="Calibri" w:cs="Calibri"/>
              </w:rPr>
              <w:t xml:space="preserve"> these costs will be covered (a contract with City Sprint is currently being set-up for this trial). No costs will be incurred by your lab.</w:t>
            </w:r>
          </w:p>
        </w:tc>
      </w:tr>
      <w:tr w:rsidR="6F6BBBF1" w14:paraId="6FB2C8DD" w14:textId="77777777" w:rsidTr="041DACFA">
        <w:tc>
          <w:tcPr>
            <w:tcW w:w="2700" w:type="dxa"/>
          </w:tcPr>
          <w:p w14:paraId="3649B732" w14:textId="36FEC960" w:rsidR="05007425" w:rsidRDefault="02D44770" w:rsidP="6F6BBBF1">
            <w:pPr>
              <w:rPr>
                <w:rFonts w:ascii="Calibri" w:eastAsia="Calibri" w:hAnsi="Calibri" w:cs="Calibri"/>
                <w:b/>
                <w:bCs/>
              </w:rPr>
            </w:pPr>
            <w:r w:rsidRPr="00FC3F94">
              <w:rPr>
                <w:rFonts w:ascii="Calibri" w:eastAsia="Calibri" w:hAnsi="Calibri" w:cs="Calibri"/>
                <w:b/>
                <w:bCs/>
              </w:rPr>
              <w:t>C</w:t>
            </w:r>
            <w:r w:rsidR="05007425" w:rsidRPr="00FC3F94">
              <w:rPr>
                <w:rFonts w:ascii="Calibri" w:eastAsia="Calibri" w:hAnsi="Calibri" w:cs="Calibri"/>
                <w:b/>
                <w:bCs/>
              </w:rPr>
              <w:t>an we store the samples over the weekend and send them on</w:t>
            </w:r>
            <w:r w:rsidR="4762E3CA" w:rsidRPr="00FC3F94">
              <w:rPr>
                <w:rFonts w:ascii="Calibri" w:eastAsia="Calibri" w:hAnsi="Calibri" w:cs="Calibri"/>
                <w:b/>
                <w:bCs/>
              </w:rPr>
              <w:t xml:space="preserve"> Monday?</w:t>
            </w:r>
          </w:p>
        </w:tc>
        <w:tc>
          <w:tcPr>
            <w:tcW w:w="6326" w:type="dxa"/>
          </w:tcPr>
          <w:p w14:paraId="114E41D4" w14:textId="22ED738B" w:rsidR="5A183BBB" w:rsidRDefault="5A183BBB" w:rsidP="00FC3F94">
            <w:pPr>
              <w:rPr>
                <w:rFonts w:ascii="Calibri" w:eastAsia="Calibri" w:hAnsi="Calibri" w:cs="Calibri"/>
              </w:rPr>
            </w:pPr>
            <w:r w:rsidRPr="00FC3F94">
              <w:rPr>
                <w:rFonts w:ascii="Calibri" w:eastAsia="Calibri" w:hAnsi="Calibri" w:cs="Calibri"/>
              </w:rPr>
              <w:t xml:space="preserve">Where possible you should try and get samples sent on the same day as sampling. </w:t>
            </w:r>
            <w:r w:rsidR="6309A549" w:rsidRPr="00FC3F94">
              <w:rPr>
                <w:rFonts w:ascii="Calibri" w:eastAsia="Calibri" w:hAnsi="Calibri" w:cs="Calibri"/>
              </w:rPr>
              <w:t>If this is not possible, k</w:t>
            </w:r>
            <w:r w:rsidRPr="00FC3F94">
              <w:rPr>
                <w:rFonts w:ascii="Calibri" w:eastAsia="Calibri" w:hAnsi="Calibri" w:cs="Calibri"/>
              </w:rPr>
              <w:t xml:space="preserve">eep the samples </w:t>
            </w:r>
            <w:r w:rsidRPr="00FC3F94">
              <w:rPr>
                <w:rFonts w:ascii="Calibri" w:eastAsia="Calibri" w:hAnsi="Calibri" w:cs="Calibri"/>
                <w:u w:val="single"/>
              </w:rPr>
              <w:t>in a fridge</w:t>
            </w:r>
            <w:r w:rsidRPr="00FC3F94">
              <w:rPr>
                <w:rFonts w:ascii="Calibri" w:eastAsia="Calibri" w:hAnsi="Calibri" w:cs="Calibri"/>
              </w:rPr>
              <w:t xml:space="preserve"> and post as soon as possible.</w:t>
            </w:r>
          </w:p>
        </w:tc>
      </w:tr>
      <w:tr w:rsidR="79C7CD84" w14:paraId="16AFBE9F" w14:textId="77777777" w:rsidTr="041DACFA">
        <w:tc>
          <w:tcPr>
            <w:tcW w:w="9026" w:type="dxa"/>
            <w:gridSpan w:val="2"/>
            <w:shd w:val="clear" w:color="auto" w:fill="E7E6E6" w:themeFill="background2"/>
          </w:tcPr>
          <w:p w14:paraId="2059D5F5" w14:textId="43AF1B74" w:rsidR="5DB70F38" w:rsidRDefault="30922E3D" w:rsidP="79C7CD84">
            <w:pPr>
              <w:jc w:val="center"/>
              <w:rPr>
                <w:rFonts w:eastAsiaTheme="minorEastAsia"/>
                <w:b/>
                <w:bCs/>
              </w:rPr>
            </w:pPr>
            <w:r w:rsidRPr="00FC3F94">
              <w:rPr>
                <w:rFonts w:eastAsiaTheme="minorEastAsia"/>
                <w:b/>
                <w:bCs/>
              </w:rPr>
              <w:t xml:space="preserve">REMAP-CAP </w:t>
            </w:r>
            <w:r w:rsidR="5DB70F38" w:rsidRPr="00FC3F94">
              <w:rPr>
                <w:rFonts w:eastAsiaTheme="minorEastAsia"/>
                <w:b/>
                <w:bCs/>
              </w:rPr>
              <w:t xml:space="preserve">Randomisation / Eligibility </w:t>
            </w:r>
          </w:p>
        </w:tc>
      </w:tr>
      <w:tr w:rsidR="79C7CD84" w14:paraId="42D2A530" w14:textId="77777777" w:rsidTr="041DACFA">
        <w:tc>
          <w:tcPr>
            <w:tcW w:w="2700" w:type="dxa"/>
          </w:tcPr>
          <w:p w14:paraId="733B192A" w14:textId="4B604DBB" w:rsidR="2D6224E4" w:rsidRDefault="2D6224E4" w:rsidP="79C7CD84">
            <w:pPr>
              <w:rPr>
                <w:rFonts w:eastAsiaTheme="minorEastAsia"/>
              </w:rPr>
            </w:pPr>
            <w:r w:rsidRPr="79C7CD84">
              <w:rPr>
                <w:rFonts w:eastAsiaTheme="minorEastAsia"/>
                <w:b/>
                <w:bCs/>
              </w:rPr>
              <w:t>Can patients who have been readmitted to ICU be entered into the trial?</w:t>
            </w:r>
          </w:p>
        </w:tc>
        <w:tc>
          <w:tcPr>
            <w:tcW w:w="6326" w:type="dxa"/>
          </w:tcPr>
          <w:p w14:paraId="13BFC4BC" w14:textId="6AC875FB" w:rsidR="2D6224E4" w:rsidRDefault="2D6224E4" w:rsidP="79C7CD84">
            <w:pPr>
              <w:rPr>
                <w:rFonts w:eastAsiaTheme="minorEastAsia"/>
              </w:rPr>
            </w:pPr>
            <w:r w:rsidRPr="2D5C88A6">
              <w:rPr>
                <w:rFonts w:eastAsiaTheme="minorEastAsia"/>
              </w:rPr>
              <w:t>Yes, if within 14 days of hospital admission.</w:t>
            </w:r>
          </w:p>
        </w:tc>
      </w:tr>
      <w:tr w:rsidR="79C7CD84" w14:paraId="6D270952" w14:textId="77777777" w:rsidTr="041DACFA">
        <w:tc>
          <w:tcPr>
            <w:tcW w:w="2700" w:type="dxa"/>
          </w:tcPr>
          <w:p w14:paraId="1E9E4E2D" w14:textId="154BFA05" w:rsidR="2D6224E4" w:rsidRDefault="2D6224E4" w:rsidP="79C7CD84">
            <w:pPr>
              <w:rPr>
                <w:rFonts w:ascii="Calibri" w:eastAsia="Calibri" w:hAnsi="Calibri" w:cs="Calibri"/>
              </w:rPr>
            </w:pPr>
            <w:r w:rsidRPr="79C7CD84">
              <w:rPr>
                <w:rFonts w:ascii="Calibri" w:eastAsia="Calibri" w:hAnsi="Calibri" w:cs="Calibri"/>
                <w:b/>
                <w:bCs/>
              </w:rPr>
              <w:t>Can we randomise pts outside the 24</w:t>
            </w:r>
            <w:r w:rsidR="1A2D9CEF" w:rsidRPr="79C7CD84">
              <w:rPr>
                <w:rFonts w:ascii="Calibri" w:eastAsia="Calibri" w:hAnsi="Calibri" w:cs="Calibri"/>
                <w:b/>
                <w:bCs/>
              </w:rPr>
              <w:t xml:space="preserve"> </w:t>
            </w:r>
            <w:r w:rsidRPr="79C7CD84">
              <w:rPr>
                <w:rFonts w:ascii="Calibri" w:eastAsia="Calibri" w:hAnsi="Calibri" w:cs="Calibri"/>
                <w:b/>
                <w:bCs/>
              </w:rPr>
              <w:t>hours required for other domains but within 48 hours required for this domain?</w:t>
            </w:r>
          </w:p>
        </w:tc>
        <w:tc>
          <w:tcPr>
            <w:tcW w:w="6326" w:type="dxa"/>
          </w:tcPr>
          <w:p w14:paraId="289C46CE" w14:textId="39EE1CB2" w:rsidR="677FF503" w:rsidRDefault="677FF503" w:rsidP="79C7CD84">
            <w:pPr>
              <w:rPr>
                <w:rFonts w:ascii="Calibri" w:eastAsia="Calibri" w:hAnsi="Calibri" w:cs="Calibri"/>
              </w:rPr>
            </w:pPr>
            <w:r w:rsidRPr="2D5C88A6">
              <w:rPr>
                <w:rFonts w:ascii="Calibri" w:eastAsia="Calibri" w:hAnsi="Calibri" w:cs="Calibri"/>
              </w:rPr>
              <w:t>When you randomise to other domains it will also say that the patient may be eligible for the immunoglobulin domain and gives you the 48hours to confirm if you want to randomise to this domain.</w:t>
            </w:r>
          </w:p>
          <w:p w14:paraId="37F8BC5F" w14:textId="38CFCD9E" w:rsidR="79C7CD84" w:rsidRDefault="79C7CD84" w:rsidP="79C7CD84">
            <w:pPr>
              <w:rPr>
                <w:rFonts w:ascii="Calibri" w:eastAsia="Calibri" w:hAnsi="Calibri" w:cs="Calibri"/>
              </w:rPr>
            </w:pPr>
          </w:p>
          <w:p w14:paraId="11FB6538" w14:textId="2FA2D4E5" w:rsidR="79C7CD84" w:rsidRDefault="79C7CD84" w:rsidP="79C7CD84">
            <w:pPr>
              <w:rPr>
                <w:rFonts w:ascii="Calibri" w:eastAsia="Calibri" w:hAnsi="Calibri" w:cs="Calibri"/>
              </w:rPr>
            </w:pPr>
          </w:p>
        </w:tc>
      </w:tr>
      <w:tr w:rsidR="79C7CD84" w14:paraId="17CE2900" w14:textId="77777777" w:rsidTr="041DACFA">
        <w:tc>
          <w:tcPr>
            <w:tcW w:w="2700" w:type="dxa"/>
          </w:tcPr>
          <w:p w14:paraId="3547C87B" w14:textId="6718905C" w:rsidR="2D6224E4" w:rsidRDefault="2D6224E4" w:rsidP="79C7CD84">
            <w:pPr>
              <w:rPr>
                <w:rFonts w:ascii="Calibri" w:eastAsia="Calibri" w:hAnsi="Calibri" w:cs="Calibri"/>
              </w:rPr>
            </w:pPr>
            <w:r w:rsidRPr="79C7CD84">
              <w:rPr>
                <w:rFonts w:ascii="Calibri" w:eastAsia="Calibri" w:hAnsi="Calibri" w:cs="Calibri"/>
                <w:b/>
                <w:bCs/>
              </w:rPr>
              <w:t xml:space="preserve">In the training slides the exclusion criteria says a patient is ineligible if they have received antibody </w:t>
            </w:r>
            <w:r w:rsidRPr="79C7CD84">
              <w:rPr>
                <w:rFonts w:ascii="Calibri" w:eastAsia="Calibri" w:hAnsi="Calibri" w:cs="Calibri"/>
                <w:b/>
                <w:bCs/>
              </w:rPr>
              <w:lastRenderedPageBreak/>
              <w:t xml:space="preserve">therapy against COVID-19 (convalescent plasma, </w:t>
            </w:r>
            <w:proofErr w:type="spellStart"/>
            <w:r w:rsidRPr="79C7CD84">
              <w:rPr>
                <w:rFonts w:ascii="Calibri" w:eastAsia="Calibri" w:hAnsi="Calibri" w:cs="Calibri"/>
                <w:b/>
                <w:bCs/>
              </w:rPr>
              <w:t>hyperimmune</w:t>
            </w:r>
            <w:proofErr w:type="spellEnd"/>
            <w:r w:rsidRPr="79C7CD84">
              <w:rPr>
                <w:rFonts w:ascii="Calibri" w:eastAsia="Calibri" w:hAnsi="Calibri" w:cs="Calibri"/>
                <w:b/>
                <w:bCs/>
              </w:rPr>
              <w:t xml:space="preserve"> globulin, monoclonal antibody), does this exclude patients in the Immune Modulatory (IM) domain/patients taking </w:t>
            </w:r>
            <w:proofErr w:type="spellStart"/>
            <w:r w:rsidRPr="79C7CD84">
              <w:rPr>
                <w:rFonts w:ascii="Calibri" w:eastAsia="Calibri" w:hAnsi="Calibri" w:cs="Calibri"/>
                <w:b/>
                <w:bCs/>
              </w:rPr>
              <w:t>Tocilizumab</w:t>
            </w:r>
            <w:proofErr w:type="spellEnd"/>
            <w:r w:rsidRPr="79C7CD84">
              <w:rPr>
                <w:rFonts w:ascii="Calibri" w:eastAsia="Calibri" w:hAnsi="Calibri" w:cs="Calibri"/>
                <w:b/>
                <w:bCs/>
              </w:rPr>
              <w:t>?</w:t>
            </w:r>
          </w:p>
        </w:tc>
        <w:tc>
          <w:tcPr>
            <w:tcW w:w="6326" w:type="dxa"/>
          </w:tcPr>
          <w:p w14:paraId="56644D7B" w14:textId="28E19A6C" w:rsidR="2D6224E4" w:rsidRDefault="2D6224E4" w:rsidP="79C7CD84">
            <w:pPr>
              <w:rPr>
                <w:rFonts w:ascii="Calibri" w:eastAsia="Calibri" w:hAnsi="Calibri" w:cs="Calibri"/>
              </w:rPr>
            </w:pPr>
            <w:r w:rsidRPr="79C7CD84">
              <w:rPr>
                <w:rFonts w:ascii="Calibri" w:eastAsia="Calibri" w:hAnsi="Calibri" w:cs="Calibri"/>
              </w:rPr>
              <w:lastRenderedPageBreak/>
              <w:t xml:space="preserve">No, this refers to antibody therapy that is specific to COVID-19, patients in the IM domain/ given </w:t>
            </w:r>
            <w:proofErr w:type="spellStart"/>
            <w:r w:rsidRPr="79C7CD84">
              <w:rPr>
                <w:rFonts w:ascii="Calibri" w:eastAsia="Calibri" w:hAnsi="Calibri" w:cs="Calibri"/>
              </w:rPr>
              <w:t>tocilizumab</w:t>
            </w:r>
            <w:proofErr w:type="spellEnd"/>
            <w:r w:rsidRPr="79C7CD84">
              <w:rPr>
                <w:rFonts w:ascii="Calibri" w:eastAsia="Calibri" w:hAnsi="Calibri" w:cs="Calibri"/>
              </w:rPr>
              <w:t xml:space="preserve"> are eligible for this domain if they meet all the inclusion and none of the exclusion criteria.</w:t>
            </w:r>
          </w:p>
        </w:tc>
      </w:tr>
      <w:tr w:rsidR="00FC3F94" w14:paraId="3CCA6518" w14:textId="77777777" w:rsidTr="041DACFA">
        <w:tc>
          <w:tcPr>
            <w:tcW w:w="2700" w:type="dxa"/>
          </w:tcPr>
          <w:p w14:paraId="114DCDEB" w14:textId="34AE61BB" w:rsidR="244892A0" w:rsidRDefault="244892A0" w:rsidP="00FC3F94">
            <w:pPr>
              <w:rPr>
                <w:rFonts w:ascii="Calibri" w:eastAsia="Calibri" w:hAnsi="Calibri" w:cs="Calibri"/>
                <w:b/>
                <w:bCs/>
              </w:rPr>
            </w:pPr>
            <w:r w:rsidRPr="00FC3F94">
              <w:rPr>
                <w:rFonts w:ascii="Calibri" w:eastAsia="Calibri" w:hAnsi="Calibri" w:cs="Calibri"/>
                <w:b/>
                <w:bCs/>
              </w:rPr>
              <w:t>What is the consent pathway being used for the trial?</w:t>
            </w:r>
          </w:p>
        </w:tc>
        <w:tc>
          <w:tcPr>
            <w:tcW w:w="6326" w:type="dxa"/>
          </w:tcPr>
          <w:p w14:paraId="63B59D50" w14:textId="1C011A8C" w:rsidR="244892A0" w:rsidRDefault="244892A0" w:rsidP="00FC3F94">
            <w:pPr>
              <w:rPr>
                <w:rFonts w:ascii="Calibri" w:eastAsia="Calibri" w:hAnsi="Calibri" w:cs="Calibri"/>
              </w:rPr>
            </w:pPr>
            <w:r w:rsidRPr="00FC3F94">
              <w:rPr>
                <w:rFonts w:ascii="Calibri" w:eastAsia="Calibri" w:hAnsi="Calibri" w:cs="Calibri"/>
              </w:rPr>
              <w:t>There are three approved consent forms being used. The majority of patients will be consented into the trial by a representative (if they lack capacity), and then they will be approached once they regain capacity to consent for themselves.</w:t>
            </w:r>
          </w:p>
        </w:tc>
      </w:tr>
    </w:tbl>
    <w:p w14:paraId="609549B5" w14:textId="2F37EB7D" w:rsidR="041DACFA" w:rsidRDefault="041DACFA"/>
    <w:p w14:paraId="35AD05A3" w14:textId="3EF432B3" w:rsidR="68BEE7E8" w:rsidRDefault="68BEE7E8" w:rsidP="00FC3F94">
      <w:pPr>
        <w:rPr>
          <w:rFonts w:ascii="Calibri" w:eastAsia="Calibri" w:hAnsi="Calibri" w:cs="Calibri"/>
        </w:rPr>
      </w:pPr>
    </w:p>
    <w:p w14:paraId="5FF875C0" w14:textId="62AADB46" w:rsidR="68BEE7E8" w:rsidRDefault="68BEE7E8" w:rsidP="00FC3F94">
      <w:pPr>
        <w:rPr>
          <w:rFonts w:ascii="Calibri" w:eastAsia="Calibri" w:hAnsi="Calibri" w:cs="Calibri"/>
          <w:b/>
          <w:bCs/>
        </w:rPr>
      </w:pPr>
    </w:p>
    <w:p w14:paraId="3218F9BD" w14:textId="5E21035C" w:rsidR="68BEE7E8" w:rsidRDefault="68BEE7E8" w:rsidP="68BEE7E8">
      <w:pPr>
        <w:rPr>
          <w:b/>
          <w:bCs/>
        </w:rPr>
      </w:pPr>
    </w:p>
    <w:sectPr w:rsidR="68BEE7E8">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06A95"/>
    <w:multiLevelType w:val="hybridMultilevel"/>
    <w:tmpl w:val="666482AA"/>
    <w:lvl w:ilvl="0" w:tplc="4426EFC8">
      <w:start w:val="1"/>
      <w:numFmt w:val="decimal"/>
      <w:lvlText w:val="%1."/>
      <w:lvlJc w:val="left"/>
      <w:pPr>
        <w:ind w:left="720" w:hanging="360"/>
      </w:pPr>
    </w:lvl>
    <w:lvl w:ilvl="1" w:tplc="769A70D2">
      <w:start w:val="1"/>
      <w:numFmt w:val="lowerLetter"/>
      <w:lvlText w:val="%2."/>
      <w:lvlJc w:val="left"/>
      <w:pPr>
        <w:ind w:left="1440" w:hanging="360"/>
      </w:pPr>
    </w:lvl>
    <w:lvl w:ilvl="2" w:tplc="A0BAA6C2">
      <w:start w:val="1"/>
      <w:numFmt w:val="lowerRoman"/>
      <w:lvlText w:val="%3."/>
      <w:lvlJc w:val="right"/>
      <w:pPr>
        <w:ind w:left="2160" w:hanging="180"/>
      </w:pPr>
    </w:lvl>
    <w:lvl w:ilvl="3" w:tplc="F7D2D442">
      <w:start w:val="1"/>
      <w:numFmt w:val="decimal"/>
      <w:lvlText w:val="%4."/>
      <w:lvlJc w:val="left"/>
      <w:pPr>
        <w:ind w:left="2880" w:hanging="360"/>
      </w:pPr>
    </w:lvl>
    <w:lvl w:ilvl="4" w:tplc="7400BD16">
      <w:start w:val="1"/>
      <w:numFmt w:val="lowerLetter"/>
      <w:lvlText w:val="%5."/>
      <w:lvlJc w:val="left"/>
      <w:pPr>
        <w:ind w:left="3600" w:hanging="360"/>
      </w:pPr>
    </w:lvl>
    <w:lvl w:ilvl="5" w:tplc="6F56D34A">
      <w:start w:val="1"/>
      <w:numFmt w:val="lowerRoman"/>
      <w:lvlText w:val="%6."/>
      <w:lvlJc w:val="right"/>
      <w:pPr>
        <w:ind w:left="4320" w:hanging="180"/>
      </w:pPr>
    </w:lvl>
    <w:lvl w:ilvl="6" w:tplc="655CFD02">
      <w:start w:val="1"/>
      <w:numFmt w:val="decimal"/>
      <w:lvlText w:val="%7."/>
      <w:lvlJc w:val="left"/>
      <w:pPr>
        <w:ind w:left="5040" w:hanging="360"/>
      </w:pPr>
    </w:lvl>
    <w:lvl w:ilvl="7" w:tplc="F1F01868">
      <w:start w:val="1"/>
      <w:numFmt w:val="lowerLetter"/>
      <w:lvlText w:val="%8."/>
      <w:lvlJc w:val="left"/>
      <w:pPr>
        <w:ind w:left="5760" w:hanging="360"/>
      </w:pPr>
    </w:lvl>
    <w:lvl w:ilvl="8" w:tplc="9BB01F80">
      <w:start w:val="1"/>
      <w:numFmt w:val="lowerRoman"/>
      <w:lvlText w:val="%9."/>
      <w:lvlJc w:val="right"/>
      <w:pPr>
        <w:ind w:left="6480" w:hanging="180"/>
      </w:pPr>
    </w:lvl>
  </w:abstractNum>
  <w:abstractNum w:abstractNumId="1" w15:restartNumberingAfterBreak="0">
    <w:nsid w:val="455F13D1"/>
    <w:multiLevelType w:val="hybridMultilevel"/>
    <w:tmpl w:val="B71AFC42"/>
    <w:lvl w:ilvl="0" w:tplc="059459CE">
      <w:start w:val="1"/>
      <w:numFmt w:val="bullet"/>
      <w:lvlText w:val=""/>
      <w:lvlJc w:val="left"/>
      <w:pPr>
        <w:ind w:left="720" w:hanging="360"/>
      </w:pPr>
      <w:rPr>
        <w:rFonts w:ascii="Symbol" w:hAnsi="Symbol" w:hint="default"/>
      </w:rPr>
    </w:lvl>
    <w:lvl w:ilvl="1" w:tplc="973455DE">
      <w:start w:val="1"/>
      <w:numFmt w:val="bullet"/>
      <w:lvlText w:val="o"/>
      <w:lvlJc w:val="left"/>
      <w:pPr>
        <w:ind w:left="1440" w:hanging="360"/>
      </w:pPr>
      <w:rPr>
        <w:rFonts w:ascii="Courier New" w:hAnsi="Courier New" w:hint="default"/>
      </w:rPr>
    </w:lvl>
    <w:lvl w:ilvl="2" w:tplc="8F16B2EE">
      <w:start w:val="1"/>
      <w:numFmt w:val="bullet"/>
      <w:lvlText w:val=""/>
      <w:lvlJc w:val="left"/>
      <w:pPr>
        <w:ind w:left="2160" w:hanging="360"/>
      </w:pPr>
      <w:rPr>
        <w:rFonts w:ascii="Wingdings" w:hAnsi="Wingdings" w:hint="default"/>
      </w:rPr>
    </w:lvl>
    <w:lvl w:ilvl="3" w:tplc="C0C49008">
      <w:start w:val="1"/>
      <w:numFmt w:val="bullet"/>
      <w:lvlText w:val=""/>
      <w:lvlJc w:val="left"/>
      <w:pPr>
        <w:ind w:left="2880" w:hanging="360"/>
      </w:pPr>
      <w:rPr>
        <w:rFonts w:ascii="Symbol" w:hAnsi="Symbol" w:hint="default"/>
      </w:rPr>
    </w:lvl>
    <w:lvl w:ilvl="4" w:tplc="0C56B336">
      <w:start w:val="1"/>
      <w:numFmt w:val="bullet"/>
      <w:lvlText w:val="o"/>
      <w:lvlJc w:val="left"/>
      <w:pPr>
        <w:ind w:left="3600" w:hanging="360"/>
      </w:pPr>
      <w:rPr>
        <w:rFonts w:ascii="Courier New" w:hAnsi="Courier New" w:hint="default"/>
      </w:rPr>
    </w:lvl>
    <w:lvl w:ilvl="5" w:tplc="B4FE16F0">
      <w:start w:val="1"/>
      <w:numFmt w:val="bullet"/>
      <w:lvlText w:val=""/>
      <w:lvlJc w:val="left"/>
      <w:pPr>
        <w:ind w:left="4320" w:hanging="360"/>
      </w:pPr>
      <w:rPr>
        <w:rFonts w:ascii="Wingdings" w:hAnsi="Wingdings" w:hint="default"/>
      </w:rPr>
    </w:lvl>
    <w:lvl w:ilvl="6" w:tplc="767E5E9A">
      <w:start w:val="1"/>
      <w:numFmt w:val="bullet"/>
      <w:lvlText w:val=""/>
      <w:lvlJc w:val="left"/>
      <w:pPr>
        <w:ind w:left="5040" w:hanging="360"/>
      </w:pPr>
      <w:rPr>
        <w:rFonts w:ascii="Symbol" w:hAnsi="Symbol" w:hint="default"/>
      </w:rPr>
    </w:lvl>
    <w:lvl w:ilvl="7" w:tplc="AF6AEC70">
      <w:start w:val="1"/>
      <w:numFmt w:val="bullet"/>
      <w:lvlText w:val="o"/>
      <w:lvlJc w:val="left"/>
      <w:pPr>
        <w:ind w:left="5760" w:hanging="360"/>
      </w:pPr>
      <w:rPr>
        <w:rFonts w:ascii="Courier New" w:hAnsi="Courier New" w:hint="default"/>
      </w:rPr>
    </w:lvl>
    <w:lvl w:ilvl="8" w:tplc="22DA5534">
      <w:start w:val="1"/>
      <w:numFmt w:val="bullet"/>
      <w:lvlText w:val=""/>
      <w:lvlJc w:val="left"/>
      <w:pPr>
        <w:ind w:left="6480" w:hanging="360"/>
      </w:pPr>
      <w:rPr>
        <w:rFonts w:ascii="Wingdings" w:hAnsi="Wingdings" w:hint="default"/>
      </w:rPr>
    </w:lvl>
  </w:abstractNum>
  <w:abstractNum w:abstractNumId="2" w15:restartNumberingAfterBreak="0">
    <w:nsid w:val="47F95A1E"/>
    <w:multiLevelType w:val="hybridMultilevel"/>
    <w:tmpl w:val="FE78E1B8"/>
    <w:lvl w:ilvl="0" w:tplc="F9CCB22A">
      <w:start w:val="1"/>
      <w:numFmt w:val="bullet"/>
      <w:lvlText w:val=""/>
      <w:lvlJc w:val="left"/>
      <w:pPr>
        <w:ind w:left="720" w:hanging="360"/>
      </w:pPr>
      <w:rPr>
        <w:rFonts w:ascii="Symbol" w:hAnsi="Symbol" w:hint="default"/>
      </w:rPr>
    </w:lvl>
    <w:lvl w:ilvl="1" w:tplc="60E00816">
      <w:start w:val="1"/>
      <w:numFmt w:val="bullet"/>
      <w:lvlText w:val="o"/>
      <w:lvlJc w:val="left"/>
      <w:pPr>
        <w:ind w:left="1440" w:hanging="360"/>
      </w:pPr>
      <w:rPr>
        <w:rFonts w:ascii="Courier New" w:hAnsi="Courier New" w:hint="default"/>
      </w:rPr>
    </w:lvl>
    <w:lvl w:ilvl="2" w:tplc="ACF4BB9E">
      <w:start w:val="1"/>
      <w:numFmt w:val="bullet"/>
      <w:lvlText w:val=""/>
      <w:lvlJc w:val="left"/>
      <w:pPr>
        <w:ind w:left="2160" w:hanging="360"/>
      </w:pPr>
      <w:rPr>
        <w:rFonts w:ascii="Wingdings" w:hAnsi="Wingdings" w:hint="default"/>
      </w:rPr>
    </w:lvl>
    <w:lvl w:ilvl="3" w:tplc="2506DC70">
      <w:start w:val="1"/>
      <w:numFmt w:val="bullet"/>
      <w:lvlText w:val=""/>
      <w:lvlJc w:val="left"/>
      <w:pPr>
        <w:ind w:left="2880" w:hanging="360"/>
      </w:pPr>
      <w:rPr>
        <w:rFonts w:ascii="Symbol" w:hAnsi="Symbol" w:hint="default"/>
      </w:rPr>
    </w:lvl>
    <w:lvl w:ilvl="4" w:tplc="42866994">
      <w:start w:val="1"/>
      <w:numFmt w:val="bullet"/>
      <w:lvlText w:val="o"/>
      <w:lvlJc w:val="left"/>
      <w:pPr>
        <w:ind w:left="3600" w:hanging="360"/>
      </w:pPr>
      <w:rPr>
        <w:rFonts w:ascii="Courier New" w:hAnsi="Courier New" w:hint="default"/>
      </w:rPr>
    </w:lvl>
    <w:lvl w:ilvl="5" w:tplc="B7804926">
      <w:start w:val="1"/>
      <w:numFmt w:val="bullet"/>
      <w:lvlText w:val=""/>
      <w:lvlJc w:val="left"/>
      <w:pPr>
        <w:ind w:left="4320" w:hanging="360"/>
      </w:pPr>
      <w:rPr>
        <w:rFonts w:ascii="Wingdings" w:hAnsi="Wingdings" w:hint="default"/>
      </w:rPr>
    </w:lvl>
    <w:lvl w:ilvl="6" w:tplc="9E92E0C6">
      <w:start w:val="1"/>
      <w:numFmt w:val="bullet"/>
      <w:lvlText w:val=""/>
      <w:lvlJc w:val="left"/>
      <w:pPr>
        <w:ind w:left="5040" w:hanging="360"/>
      </w:pPr>
      <w:rPr>
        <w:rFonts w:ascii="Symbol" w:hAnsi="Symbol" w:hint="default"/>
      </w:rPr>
    </w:lvl>
    <w:lvl w:ilvl="7" w:tplc="CF825C26">
      <w:start w:val="1"/>
      <w:numFmt w:val="bullet"/>
      <w:lvlText w:val="o"/>
      <w:lvlJc w:val="left"/>
      <w:pPr>
        <w:ind w:left="5760" w:hanging="360"/>
      </w:pPr>
      <w:rPr>
        <w:rFonts w:ascii="Courier New" w:hAnsi="Courier New" w:hint="default"/>
      </w:rPr>
    </w:lvl>
    <w:lvl w:ilvl="8" w:tplc="B3462430">
      <w:start w:val="1"/>
      <w:numFmt w:val="bullet"/>
      <w:lvlText w:val=""/>
      <w:lvlJc w:val="left"/>
      <w:pPr>
        <w:ind w:left="6480" w:hanging="360"/>
      </w:pPr>
      <w:rPr>
        <w:rFonts w:ascii="Wingdings" w:hAnsi="Wingdings" w:hint="default"/>
      </w:rPr>
    </w:lvl>
  </w:abstractNum>
  <w:abstractNum w:abstractNumId="3" w15:restartNumberingAfterBreak="0">
    <w:nsid w:val="69595182"/>
    <w:multiLevelType w:val="hybridMultilevel"/>
    <w:tmpl w:val="83223D50"/>
    <w:lvl w:ilvl="0" w:tplc="85989266">
      <w:start w:val="1"/>
      <w:numFmt w:val="decimal"/>
      <w:lvlText w:val="%1."/>
      <w:lvlJc w:val="left"/>
      <w:pPr>
        <w:ind w:left="720" w:hanging="360"/>
      </w:pPr>
    </w:lvl>
    <w:lvl w:ilvl="1" w:tplc="FC78196A">
      <w:start w:val="1"/>
      <w:numFmt w:val="lowerLetter"/>
      <w:lvlText w:val="%2."/>
      <w:lvlJc w:val="left"/>
      <w:pPr>
        <w:ind w:left="1440" w:hanging="360"/>
      </w:pPr>
    </w:lvl>
    <w:lvl w:ilvl="2" w:tplc="791228DE">
      <w:start w:val="1"/>
      <w:numFmt w:val="lowerRoman"/>
      <w:lvlText w:val="%3."/>
      <w:lvlJc w:val="right"/>
      <w:pPr>
        <w:ind w:left="2160" w:hanging="180"/>
      </w:pPr>
    </w:lvl>
    <w:lvl w:ilvl="3" w:tplc="185E48BA">
      <w:start w:val="1"/>
      <w:numFmt w:val="decimal"/>
      <w:lvlText w:val="%4."/>
      <w:lvlJc w:val="left"/>
      <w:pPr>
        <w:ind w:left="2880" w:hanging="360"/>
      </w:pPr>
    </w:lvl>
    <w:lvl w:ilvl="4" w:tplc="76B2159E">
      <w:start w:val="1"/>
      <w:numFmt w:val="lowerLetter"/>
      <w:lvlText w:val="%5."/>
      <w:lvlJc w:val="left"/>
      <w:pPr>
        <w:ind w:left="3600" w:hanging="360"/>
      </w:pPr>
    </w:lvl>
    <w:lvl w:ilvl="5" w:tplc="CAA22214">
      <w:start w:val="1"/>
      <w:numFmt w:val="lowerRoman"/>
      <w:lvlText w:val="%6."/>
      <w:lvlJc w:val="right"/>
      <w:pPr>
        <w:ind w:left="4320" w:hanging="180"/>
      </w:pPr>
    </w:lvl>
    <w:lvl w:ilvl="6" w:tplc="D006FB6A">
      <w:start w:val="1"/>
      <w:numFmt w:val="decimal"/>
      <w:lvlText w:val="%7."/>
      <w:lvlJc w:val="left"/>
      <w:pPr>
        <w:ind w:left="5040" w:hanging="360"/>
      </w:pPr>
    </w:lvl>
    <w:lvl w:ilvl="7" w:tplc="A726F16A">
      <w:start w:val="1"/>
      <w:numFmt w:val="lowerLetter"/>
      <w:lvlText w:val="%8."/>
      <w:lvlJc w:val="left"/>
      <w:pPr>
        <w:ind w:left="5760" w:hanging="360"/>
      </w:pPr>
    </w:lvl>
    <w:lvl w:ilvl="8" w:tplc="2EF4D590">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EED"/>
    <w:rsid w:val="00260EED"/>
    <w:rsid w:val="006C5B11"/>
    <w:rsid w:val="00AD064F"/>
    <w:rsid w:val="00AD2833"/>
    <w:rsid w:val="00BB405A"/>
    <w:rsid w:val="00C71DB4"/>
    <w:rsid w:val="00FC3F94"/>
    <w:rsid w:val="01F2C5BE"/>
    <w:rsid w:val="025416D0"/>
    <w:rsid w:val="028E4882"/>
    <w:rsid w:val="02D44770"/>
    <w:rsid w:val="0321CAD5"/>
    <w:rsid w:val="03762AB9"/>
    <w:rsid w:val="03DD9487"/>
    <w:rsid w:val="041DACFA"/>
    <w:rsid w:val="04225C6F"/>
    <w:rsid w:val="05007425"/>
    <w:rsid w:val="051A4D47"/>
    <w:rsid w:val="0525E3B8"/>
    <w:rsid w:val="0548E795"/>
    <w:rsid w:val="056067D6"/>
    <w:rsid w:val="05A1723C"/>
    <w:rsid w:val="060F8201"/>
    <w:rsid w:val="06B7BE38"/>
    <w:rsid w:val="0792E76D"/>
    <w:rsid w:val="07B7AB8A"/>
    <w:rsid w:val="07D70D41"/>
    <w:rsid w:val="07FDAA3C"/>
    <w:rsid w:val="0810F04B"/>
    <w:rsid w:val="0812EF41"/>
    <w:rsid w:val="08616AD7"/>
    <w:rsid w:val="0873C4F6"/>
    <w:rsid w:val="08837A40"/>
    <w:rsid w:val="08CF6CEB"/>
    <w:rsid w:val="090D9D4A"/>
    <w:rsid w:val="09962091"/>
    <w:rsid w:val="09AB18BC"/>
    <w:rsid w:val="0A770192"/>
    <w:rsid w:val="0B94517C"/>
    <w:rsid w:val="0BF07CE9"/>
    <w:rsid w:val="0D2B5C62"/>
    <w:rsid w:val="0DA447C3"/>
    <w:rsid w:val="0DAFEC95"/>
    <w:rsid w:val="0E85F1D7"/>
    <w:rsid w:val="0EFAD719"/>
    <w:rsid w:val="0F3CB522"/>
    <w:rsid w:val="0F54041B"/>
    <w:rsid w:val="103D6FD2"/>
    <w:rsid w:val="1041E40F"/>
    <w:rsid w:val="11743248"/>
    <w:rsid w:val="119B1A7F"/>
    <w:rsid w:val="11A33ABD"/>
    <w:rsid w:val="124618E5"/>
    <w:rsid w:val="1295AFCF"/>
    <w:rsid w:val="12BE3E82"/>
    <w:rsid w:val="12C4E0DB"/>
    <w:rsid w:val="12CFBBD8"/>
    <w:rsid w:val="1326AF1C"/>
    <w:rsid w:val="1349EF30"/>
    <w:rsid w:val="136E2C95"/>
    <w:rsid w:val="1375EB67"/>
    <w:rsid w:val="14E56056"/>
    <w:rsid w:val="15745773"/>
    <w:rsid w:val="157C634A"/>
    <w:rsid w:val="15CF461B"/>
    <w:rsid w:val="15E1842E"/>
    <w:rsid w:val="164D5E63"/>
    <w:rsid w:val="170142B6"/>
    <w:rsid w:val="17A33CA9"/>
    <w:rsid w:val="185F61D6"/>
    <w:rsid w:val="1939A491"/>
    <w:rsid w:val="19F177F1"/>
    <w:rsid w:val="1A0302FE"/>
    <w:rsid w:val="1A2D9CEF"/>
    <w:rsid w:val="1AA9B3C3"/>
    <w:rsid w:val="1AFC11F0"/>
    <w:rsid w:val="1B504A41"/>
    <w:rsid w:val="1BF5577B"/>
    <w:rsid w:val="1D46BBEB"/>
    <w:rsid w:val="1D6C6DC4"/>
    <w:rsid w:val="1E3B1D58"/>
    <w:rsid w:val="1E469F05"/>
    <w:rsid w:val="1E91D900"/>
    <w:rsid w:val="1F2ADFF0"/>
    <w:rsid w:val="1F53CAAE"/>
    <w:rsid w:val="1F5E86C5"/>
    <w:rsid w:val="1FFE53E3"/>
    <w:rsid w:val="22CD4C76"/>
    <w:rsid w:val="22F97060"/>
    <w:rsid w:val="233B1A8C"/>
    <w:rsid w:val="244892A0"/>
    <w:rsid w:val="24C69B6E"/>
    <w:rsid w:val="257E89B6"/>
    <w:rsid w:val="25A32B4D"/>
    <w:rsid w:val="25ABE1FC"/>
    <w:rsid w:val="260E4016"/>
    <w:rsid w:val="2683BBCA"/>
    <w:rsid w:val="272CFDD7"/>
    <w:rsid w:val="274619B1"/>
    <w:rsid w:val="275026B0"/>
    <w:rsid w:val="27BCA5FA"/>
    <w:rsid w:val="28120E25"/>
    <w:rsid w:val="2881559F"/>
    <w:rsid w:val="28E6B502"/>
    <w:rsid w:val="2A50B7D6"/>
    <w:rsid w:val="2A591E6F"/>
    <w:rsid w:val="2AD790FA"/>
    <w:rsid w:val="2B1924EE"/>
    <w:rsid w:val="2B7C2AA0"/>
    <w:rsid w:val="2BAE9D99"/>
    <w:rsid w:val="2BFE590D"/>
    <w:rsid w:val="2C470D10"/>
    <w:rsid w:val="2C764C25"/>
    <w:rsid w:val="2D5C88A6"/>
    <w:rsid w:val="2D6224E4"/>
    <w:rsid w:val="2DDDD797"/>
    <w:rsid w:val="2E1D12CD"/>
    <w:rsid w:val="2E4DE983"/>
    <w:rsid w:val="2EAB5F06"/>
    <w:rsid w:val="2F2C7B82"/>
    <w:rsid w:val="2F608B42"/>
    <w:rsid w:val="2FF72829"/>
    <w:rsid w:val="30922E3D"/>
    <w:rsid w:val="30F65805"/>
    <w:rsid w:val="311F1138"/>
    <w:rsid w:val="31AA7951"/>
    <w:rsid w:val="323E7E8B"/>
    <w:rsid w:val="32B47B23"/>
    <w:rsid w:val="32BDA519"/>
    <w:rsid w:val="33681C17"/>
    <w:rsid w:val="336CA494"/>
    <w:rsid w:val="33BA72B2"/>
    <w:rsid w:val="344C9F8F"/>
    <w:rsid w:val="34574551"/>
    <w:rsid w:val="34B401D1"/>
    <w:rsid w:val="35B5E543"/>
    <w:rsid w:val="35B85B50"/>
    <w:rsid w:val="35D4DF3C"/>
    <w:rsid w:val="373917FB"/>
    <w:rsid w:val="37FE6B6A"/>
    <w:rsid w:val="38B81215"/>
    <w:rsid w:val="38E6CEA3"/>
    <w:rsid w:val="3973D0D9"/>
    <w:rsid w:val="3A009CD6"/>
    <w:rsid w:val="3A3C3451"/>
    <w:rsid w:val="3A72F5A8"/>
    <w:rsid w:val="3C37AFDC"/>
    <w:rsid w:val="3C5D6D21"/>
    <w:rsid w:val="3D7D32F2"/>
    <w:rsid w:val="3DA5260E"/>
    <w:rsid w:val="4098DBD6"/>
    <w:rsid w:val="40B77A2C"/>
    <w:rsid w:val="41005976"/>
    <w:rsid w:val="411882FA"/>
    <w:rsid w:val="4142FD79"/>
    <w:rsid w:val="414D8DCD"/>
    <w:rsid w:val="41DE2FD6"/>
    <w:rsid w:val="425EABA5"/>
    <w:rsid w:val="426B4FBA"/>
    <w:rsid w:val="42A52CC9"/>
    <w:rsid w:val="4342C5C3"/>
    <w:rsid w:val="447D0CA7"/>
    <w:rsid w:val="447FD957"/>
    <w:rsid w:val="4590DDCB"/>
    <w:rsid w:val="461EFBBB"/>
    <w:rsid w:val="46859E2F"/>
    <w:rsid w:val="46FC9068"/>
    <w:rsid w:val="4762E3CA"/>
    <w:rsid w:val="477F4D7B"/>
    <w:rsid w:val="47C597C4"/>
    <w:rsid w:val="4815052B"/>
    <w:rsid w:val="49EBE2F3"/>
    <w:rsid w:val="4A31392E"/>
    <w:rsid w:val="4A34DC6D"/>
    <w:rsid w:val="4A860CD2"/>
    <w:rsid w:val="4B94EE59"/>
    <w:rsid w:val="4BE51412"/>
    <w:rsid w:val="4C1F4B5B"/>
    <w:rsid w:val="4DAE1E34"/>
    <w:rsid w:val="4FDCC5F1"/>
    <w:rsid w:val="5060523F"/>
    <w:rsid w:val="50BC4DB2"/>
    <w:rsid w:val="519AF5A7"/>
    <w:rsid w:val="51AF1841"/>
    <w:rsid w:val="52434BD1"/>
    <w:rsid w:val="5273F325"/>
    <w:rsid w:val="5278C0B3"/>
    <w:rsid w:val="52B73046"/>
    <w:rsid w:val="52ED02C2"/>
    <w:rsid w:val="54F7E367"/>
    <w:rsid w:val="558CB2B9"/>
    <w:rsid w:val="564348C8"/>
    <w:rsid w:val="5675F701"/>
    <w:rsid w:val="5741697B"/>
    <w:rsid w:val="5753505D"/>
    <w:rsid w:val="57987C09"/>
    <w:rsid w:val="57B6D45C"/>
    <w:rsid w:val="581265CA"/>
    <w:rsid w:val="581E625B"/>
    <w:rsid w:val="58ED35A3"/>
    <w:rsid w:val="590F6985"/>
    <w:rsid w:val="59E9BF67"/>
    <w:rsid w:val="5A183BBB"/>
    <w:rsid w:val="5A1F384C"/>
    <w:rsid w:val="5A5BDFDB"/>
    <w:rsid w:val="5A71613A"/>
    <w:rsid w:val="5AF2EE44"/>
    <w:rsid w:val="5B108948"/>
    <w:rsid w:val="5B2BD21B"/>
    <w:rsid w:val="5BD4F98F"/>
    <w:rsid w:val="5BDA4294"/>
    <w:rsid w:val="5C48D2A7"/>
    <w:rsid w:val="5C55EF29"/>
    <w:rsid w:val="5CC9F76A"/>
    <w:rsid w:val="5DB70F38"/>
    <w:rsid w:val="5F05CB15"/>
    <w:rsid w:val="5F082706"/>
    <w:rsid w:val="5F24D36C"/>
    <w:rsid w:val="5FDE616A"/>
    <w:rsid w:val="600FD6B2"/>
    <w:rsid w:val="6073B278"/>
    <w:rsid w:val="6086B408"/>
    <w:rsid w:val="60F1188B"/>
    <w:rsid w:val="61D55481"/>
    <w:rsid w:val="629F830D"/>
    <w:rsid w:val="6309A549"/>
    <w:rsid w:val="630FBF82"/>
    <w:rsid w:val="632F235A"/>
    <w:rsid w:val="63417751"/>
    <w:rsid w:val="63B2F768"/>
    <w:rsid w:val="63BC5B43"/>
    <w:rsid w:val="654BA355"/>
    <w:rsid w:val="6607BB16"/>
    <w:rsid w:val="6672D6F0"/>
    <w:rsid w:val="669DB076"/>
    <w:rsid w:val="677FF503"/>
    <w:rsid w:val="679DFC31"/>
    <w:rsid w:val="67C96C4F"/>
    <w:rsid w:val="681DAA39"/>
    <w:rsid w:val="686FAACF"/>
    <w:rsid w:val="68BEE7E8"/>
    <w:rsid w:val="68CCA3AF"/>
    <w:rsid w:val="6910CF7C"/>
    <w:rsid w:val="691DA742"/>
    <w:rsid w:val="69399158"/>
    <w:rsid w:val="69408A2D"/>
    <w:rsid w:val="6993DEB2"/>
    <w:rsid w:val="6A5915C7"/>
    <w:rsid w:val="6A856662"/>
    <w:rsid w:val="6A9E8EBF"/>
    <w:rsid w:val="6AE8FB50"/>
    <w:rsid w:val="6B2D320C"/>
    <w:rsid w:val="6C1AA159"/>
    <w:rsid w:val="6C39A5D2"/>
    <w:rsid w:val="6C6CFFD0"/>
    <w:rsid w:val="6DD0F371"/>
    <w:rsid w:val="6DFEA443"/>
    <w:rsid w:val="6E084D99"/>
    <w:rsid w:val="6F6BBBF1"/>
    <w:rsid w:val="6F83CAF8"/>
    <w:rsid w:val="6FE6151E"/>
    <w:rsid w:val="707617BC"/>
    <w:rsid w:val="70A29847"/>
    <w:rsid w:val="72A1A5A2"/>
    <w:rsid w:val="72F0A3DD"/>
    <w:rsid w:val="73643FA0"/>
    <w:rsid w:val="73EC9D51"/>
    <w:rsid w:val="74417FD1"/>
    <w:rsid w:val="7474D764"/>
    <w:rsid w:val="749752FE"/>
    <w:rsid w:val="74CCD8B6"/>
    <w:rsid w:val="74F7E2E8"/>
    <w:rsid w:val="752AEC59"/>
    <w:rsid w:val="75B56056"/>
    <w:rsid w:val="75B95F0A"/>
    <w:rsid w:val="7600A24B"/>
    <w:rsid w:val="7603899E"/>
    <w:rsid w:val="765394B3"/>
    <w:rsid w:val="766C33E5"/>
    <w:rsid w:val="7854728A"/>
    <w:rsid w:val="78B15B6D"/>
    <w:rsid w:val="790040F8"/>
    <w:rsid w:val="790D18A3"/>
    <w:rsid w:val="79720160"/>
    <w:rsid w:val="79792712"/>
    <w:rsid w:val="79A14DE9"/>
    <w:rsid w:val="79C7CD84"/>
    <w:rsid w:val="79DB1FCC"/>
    <w:rsid w:val="7A96D8A9"/>
    <w:rsid w:val="7B1F2C11"/>
    <w:rsid w:val="7B2ADDCE"/>
    <w:rsid w:val="7B8DAB6A"/>
    <w:rsid w:val="7C09813F"/>
    <w:rsid w:val="7C2FB7DB"/>
    <w:rsid w:val="7CE08AC0"/>
    <w:rsid w:val="7D949DC3"/>
    <w:rsid w:val="7D958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7DCC7"/>
  <w15:chartTrackingRefBased/>
  <w15:docId w15:val="{9E9BA625-F4CA-4AFA-BEE0-8FDE17B1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docs/default-source/coronaviruse/laboratory-biosafety-novel-coronavirus-version-1-1.pdf?sfvrsn=912a9847_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 Id="R94b0de502d6d49ff"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3C930432A18146BCB065D39F5C27CD" ma:contentTypeVersion="11" ma:contentTypeDescription="Create a new document." ma:contentTypeScope="" ma:versionID="33bc2b58dc3edd660009117a9e67e22e">
  <xsd:schema xmlns:xsd="http://www.w3.org/2001/XMLSchema" xmlns:xs="http://www.w3.org/2001/XMLSchema" xmlns:p="http://schemas.microsoft.com/office/2006/metadata/properties" xmlns:ns2="a20d37f0-a662-4e75-ab88-b29866c19644" xmlns:ns3="71deb8d4-20af-4d38-a2cf-dae5bcfc8bb0" targetNamespace="http://schemas.microsoft.com/office/2006/metadata/properties" ma:root="true" ma:fieldsID="3af88152c9bfd9f782d7c11a046a879c" ns2:_="" ns3:_="">
    <xsd:import namespace="a20d37f0-a662-4e75-ab88-b29866c19644"/>
    <xsd:import namespace="71deb8d4-20af-4d38-a2cf-dae5bcfc8b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d37f0-a662-4e75-ab88-b29866c196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eb8d4-20af-4d38-a2cf-dae5bcfc8b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3FCC98-FA3A-4C02-9D22-422B3374025D}">
  <ds:schemaRefs>
    <ds:schemaRef ds:uri="a20d37f0-a662-4e75-ab88-b29866c19644"/>
    <ds:schemaRef ds:uri="71deb8d4-20af-4d38-a2cf-dae5bcfc8bb0"/>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0CDDD06-ED3B-4A93-A95A-D93B976BEDBA}">
  <ds:schemaRefs>
    <ds:schemaRef ds:uri="http://schemas.microsoft.com/sharepoint/v3/contenttype/forms"/>
  </ds:schemaRefs>
</ds:datastoreItem>
</file>

<file path=customXml/itemProps3.xml><?xml version="1.0" encoding="utf-8"?>
<ds:datastoreItem xmlns:ds="http://schemas.openxmlformats.org/officeDocument/2006/customXml" ds:itemID="{98032242-4DBE-4CC2-B312-F1AB64229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0d37f0-a662-4e75-ab88-b29866c19644"/>
    <ds:schemaRef ds:uri="71deb8d4-20af-4d38-a2cf-dae5bcfc8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Amy</dc:creator>
  <cp:keywords/>
  <dc:description/>
  <cp:lastModifiedBy>Evans Amy</cp:lastModifiedBy>
  <cp:revision>2</cp:revision>
  <dcterms:created xsi:type="dcterms:W3CDTF">2020-06-15T15:44:00Z</dcterms:created>
  <dcterms:modified xsi:type="dcterms:W3CDTF">2020-06-15T15:44:00Z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0x010100DD3C930432A18146BCB065D39F5C27CD</vt:lpwstr>
  </property>
</Properties>
</file>